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spacing w:line="680" w:lineRule="exact"/>
        <w:textAlignment w:val="auto"/>
        <w:rPr>
          <w:rFonts w:ascii="仿宋_GB2312" w:hAnsi="仿宋" w:eastAsia="仿宋_GB2312" w:cs="Times New Roman"/>
          <w:b w:val="0"/>
          <w:bCs w:val="0"/>
          <w:sz w:val="32"/>
          <w:szCs w:val="32"/>
        </w:rPr>
      </w:pPr>
      <w:r>
        <w:rPr>
          <w:rFonts w:hint="eastAsia" w:ascii="楷体_GB2312" w:hAnsi="仿宋" w:eastAsia="楷体_GB2312" w:cs="楷体_GB2312"/>
          <w:b w:val="0"/>
          <w:bCs w:val="0"/>
          <w:sz w:val="32"/>
          <w:szCs w:val="32"/>
        </w:rPr>
        <w:t>附件</w:t>
      </w:r>
      <w:r>
        <w:rPr>
          <w:rFonts w:hint="eastAsia" w:ascii="楷体_GB2312" w:hAnsi="仿宋" w:eastAsia="楷体_GB2312" w:cs="楷体_GB2312"/>
          <w:b w:val="0"/>
          <w:bCs w:val="0"/>
          <w:sz w:val="32"/>
          <w:szCs w:val="32"/>
          <w:lang w:eastAsia="zh-CN"/>
        </w:rPr>
        <w:t>：</w:t>
      </w:r>
    </w:p>
    <w:p>
      <w:pPr>
        <w:pStyle w:val="4"/>
        <w:keepNext/>
        <w:keepLines/>
        <w:pageBreakBefore w:val="0"/>
        <w:widowControl w:val="0"/>
        <w:kinsoku/>
        <w:wordWrap/>
        <w:overflowPunct/>
        <w:topLinePunct w:val="0"/>
        <w:autoSpaceDE/>
        <w:autoSpaceDN/>
        <w:bidi w:val="0"/>
        <w:adjustRightInd/>
        <w:snapToGrid/>
        <w:spacing w:before="0" w:after="0" w:line="680" w:lineRule="exact"/>
        <w:jc w:val="center"/>
        <w:textAlignment w:val="auto"/>
        <w:outlineLvl w:val="2"/>
        <w:rPr>
          <w:rFonts w:hint="eastAsia" w:ascii="黑体" w:hAnsi="黑体" w:eastAsia="黑体" w:cs="黑体"/>
          <w:sz w:val="44"/>
          <w:szCs w:val="44"/>
        </w:rPr>
      </w:pPr>
      <w:r>
        <w:rPr>
          <w:rFonts w:hint="eastAsia" w:ascii="黑体" w:hAnsi="黑体" w:eastAsia="黑体" w:cs="黑体"/>
          <w:sz w:val="44"/>
          <w:szCs w:val="44"/>
          <w:lang w:eastAsia="zh-CN"/>
        </w:rPr>
        <w:t>中共景德镇市委办公室</w:t>
      </w:r>
      <w:r>
        <w:rPr>
          <w:rFonts w:hint="eastAsia" w:ascii="黑体" w:hAnsi="黑体" w:eastAsia="黑体" w:cs="黑体"/>
          <w:sz w:val="44"/>
          <w:szCs w:val="44"/>
          <w:lang w:val="en-US" w:eastAsia="zh-CN"/>
        </w:rPr>
        <w:t>2020</w:t>
      </w:r>
      <w:r>
        <w:rPr>
          <w:rFonts w:hint="eastAsia" w:ascii="黑体" w:hAnsi="黑体" w:eastAsia="黑体" w:cs="黑体"/>
          <w:sz w:val="44"/>
          <w:szCs w:val="44"/>
        </w:rPr>
        <w:t>年部门预算</w:t>
      </w:r>
    </w:p>
    <w:p>
      <w:pPr>
        <w:pStyle w:val="4"/>
        <w:keepNext/>
        <w:keepLines/>
        <w:pageBreakBefore w:val="0"/>
        <w:widowControl w:val="0"/>
        <w:kinsoku/>
        <w:wordWrap/>
        <w:overflowPunct/>
        <w:topLinePunct w:val="0"/>
        <w:autoSpaceDE/>
        <w:autoSpaceDN/>
        <w:bidi w:val="0"/>
        <w:adjustRightInd/>
        <w:snapToGrid/>
        <w:spacing w:before="0" w:after="0" w:line="680" w:lineRule="exact"/>
        <w:jc w:val="center"/>
        <w:textAlignment w:val="auto"/>
        <w:outlineLvl w:val="2"/>
        <w:rPr>
          <w:rFonts w:hint="eastAsia" w:ascii="黑体" w:hAnsi="黑体" w:eastAsia="黑体" w:cs="黑体"/>
          <w:lang w:eastAsia="zh-CN"/>
        </w:rPr>
      </w:pPr>
    </w:p>
    <w:p>
      <w:pPr>
        <w:pageBreakBefore w:val="0"/>
        <w:kinsoku/>
        <w:wordWrap/>
        <w:overflowPunct/>
        <w:topLinePunct w:val="0"/>
        <w:autoSpaceDE/>
        <w:autoSpaceDN/>
        <w:bidi w:val="0"/>
        <w:adjustRightInd/>
        <w:snapToGrid/>
        <w:spacing w:before="240" w:line="680" w:lineRule="exact"/>
        <w:jc w:val="center"/>
        <w:textAlignment w:val="auto"/>
        <w:rPr>
          <w:rFonts w:ascii="仿宋_GB2312" w:hAnsi="仿宋" w:eastAsia="仿宋_GB2312" w:cs="Times New Roman"/>
          <w:b/>
          <w:bCs/>
          <w:sz w:val="32"/>
          <w:szCs w:val="32"/>
        </w:rPr>
      </w:pPr>
      <w:r>
        <w:rPr>
          <w:rFonts w:hint="eastAsia" w:ascii="仿宋_GB2312" w:hAnsi="仿宋" w:eastAsia="仿宋_GB2312" w:cs="仿宋_GB2312"/>
          <w:b/>
          <w:bCs/>
          <w:sz w:val="32"/>
          <w:szCs w:val="32"/>
        </w:rPr>
        <w:t>目</w:t>
      </w:r>
      <w:r>
        <w:rPr>
          <w:rFonts w:ascii="仿宋_GB2312" w:hAnsi="仿宋" w:eastAsia="仿宋_GB2312" w:cs="仿宋_GB2312"/>
          <w:b/>
          <w:bCs/>
          <w:sz w:val="32"/>
          <w:szCs w:val="32"/>
        </w:rPr>
        <w:t xml:space="preserve">   </w:t>
      </w:r>
      <w:r>
        <w:rPr>
          <w:rFonts w:hint="eastAsia" w:ascii="仿宋_GB2312" w:hAnsi="仿宋" w:eastAsia="仿宋_GB2312" w:cs="仿宋_GB2312"/>
          <w:b/>
          <w:bCs/>
          <w:sz w:val="32"/>
          <w:szCs w:val="32"/>
        </w:rPr>
        <w:t>录</w:t>
      </w:r>
    </w:p>
    <w:p>
      <w:pPr>
        <w:keepNext w:val="0"/>
        <w:keepLines w:val="0"/>
        <w:pageBreakBefore w:val="0"/>
        <w:widowControl w:val="0"/>
        <w:kinsoku/>
        <w:wordWrap/>
        <w:overflowPunct/>
        <w:topLinePunct w:val="0"/>
        <w:autoSpaceDE/>
        <w:autoSpaceDN/>
        <w:bidi w:val="0"/>
        <w:adjustRightInd/>
        <w:snapToGrid/>
        <w:spacing w:line="680" w:lineRule="exact"/>
        <w:ind w:firstLine="640" w:firstLineChars="200"/>
        <w:textAlignment w:val="auto"/>
        <w:outlineLvl w:val="9"/>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lang w:eastAsia="zh-CN"/>
        </w:rPr>
        <w:t>中共景德镇市委办公室</w:t>
      </w:r>
      <w:r>
        <w:rPr>
          <w:rFonts w:hint="eastAsia" w:ascii="黑体" w:hAnsi="宋体" w:eastAsia="黑体" w:cs="黑体"/>
          <w:sz w:val="32"/>
          <w:szCs w:val="32"/>
        </w:rPr>
        <w:t>概况</w:t>
      </w:r>
    </w:p>
    <w:p>
      <w:pPr>
        <w:keepNext w:val="0"/>
        <w:keepLines w:val="0"/>
        <w:pageBreakBefore w:val="0"/>
        <w:widowControl w:val="0"/>
        <w:kinsoku/>
        <w:wordWrap/>
        <w:overflowPunct/>
        <w:topLinePunct w:val="0"/>
        <w:autoSpaceDE/>
        <w:autoSpaceDN/>
        <w:bidi w:val="0"/>
        <w:adjustRightInd/>
        <w:snapToGrid/>
        <w:spacing w:line="68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一、部门主要职责</w:t>
      </w:r>
    </w:p>
    <w:p>
      <w:pPr>
        <w:keepNext w:val="0"/>
        <w:keepLines w:val="0"/>
        <w:pageBreakBefore w:val="0"/>
        <w:widowControl w:val="0"/>
        <w:kinsoku/>
        <w:wordWrap/>
        <w:overflowPunct/>
        <w:topLinePunct w:val="0"/>
        <w:autoSpaceDE/>
        <w:autoSpaceDN/>
        <w:bidi w:val="0"/>
        <w:adjustRightInd/>
        <w:snapToGrid/>
        <w:spacing w:line="68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二、部门基本情况</w:t>
      </w:r>
    </w:p>
    <w:p>
      <w:pPr>
        <w:keepNext w:val="0"/>
        <w:keepLines w:val="0"/>
        <w:pageBreakBefore w:val="0"/>
        <w:widowControl w:val="0"/>
        <w:kinsoku/>
        <w:wordWrap/>
        <w:overflowPunct/>
        <w:topLinePunct w:val="0"/>
        <w:autoSpaceDE/>
        <w:autoSpaceDN/>
        <w:bidi w:val="0"/>
        <w:adjustRightInd/>
        <w:snapToGrid/>
        <w:spacing w:line="68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lang w:eastAsia="zh-CN"/>
        </w:rPr>
        <w:t>中共景德镇市委办公室</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年部门预算情况说明</w:t>
      </w:r>
    </w:p>
    <w:p>
      <w:pPr>
        <w:keepNext w:val="0"/>
        <w:keepLines w:val="0"/>
        <w:pageBreakBefore w:val="0"/>
        <w:widowControl w:val="0"/>
        <w:kinsoku/>
        <w:wordWrap/>
        <w:overflowPunct/>
        <w:topLinePunct w:val="0"/>
        <w:autoSpaceDE/>
        <w:autoSpaceDN/>
        <w:bidi w:val="0"/>
        <w:adjustRightInd/>
        <w:snapToGrid/>
        <w:spacing w:line="68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年部门预算收支情况说明</w:t>
      </w:r>
    </w:p>
    <w:p>
      <w:pPr>
        <w:keepNext w:val="0"/>
        <w:keepLines w:val="0"/>
        <w:pageBreakBefore w:val="0"/>
        <w:widowControl w:val="0"/>
        <w:kinsoku/>
        <w:wordWrap/>
        <w:overflowPunct/>
        <w:topLinePunct w:val="0"/>
        <w:autoSpaceDE/>
        <w:autoSpaceDN/>
        <w:bidi w:val="0"/>
        <w:adjustRightInd/>
        <w:snapToGrid/>
        <w:spacing w:line="68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年“三公”经费预算情况说明</w:t>
      </w:r>
    </w:p>
    <w:p>
      <w:pPr>
        <w:keepNext w:val="0"/>
        <w:keepLines w:val="0"/>
        <w:pageBreakBefore w:val="0"/>
        <w:widowControl w:val="0"/>
        <w:kinsoku/>
        <w:wordWrap/>
        <w:overflowPunct/>
        <w:topLinePunct w:val="0"/>
        <w:autoSpaceDE/>
        <w:autoSpaceDN/>
        <w:bidi w:val="0"/>
        <w:adjustRightInd/>
        <w:snapToGrid/>
        <w:spacing w:line="68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lang w:eastAsia="zh-CN"/>
        </w:rPr>
        <w:t>中共景德镇市委办公室</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年部门预算表</w:t>
      </w:r>
    </w:p>
    <w:p>
      <w:pPr>
        <w:keepNext w:val="0"/>
        <w:keepLines w:val="0"/>
        <w:pageBreakBefore w:val="0"/>
        <w:widowControl w:val="0"/>
        <w:kinsoku/>
        <w:wordWrap/>
        <w:overflowPunct/>
        <w:topLinePunct w:val="0"/>
        <w:autoSpaceDE/>
        <w:autoSpaceDN/>
        <w:bidi w:val="0"/>
        <w:adjustRightInd/>
        <w:snapToGrid/>
        <w:spacing w:line="68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一、《收支预算总表》</w:t>
      </w:r>
    </w:p>
    <w:p>
      <w:pPr>
        <w:keepNext w:val="0"/>
        <w:keepLines w:val="0"/>
        <w:pageBreakBefore w:val="0"/>
        <w:widowControl w:val="0"/>
        <w:kinsoku/>
        <w:wordWrap/>
        <w:overflowPunct/>
        <w:topLinePunct w:val="0"/>
        <w:autoSpaceDE/>
        <w:autoSpaceDN/>
        <w:bidi w:val="0"/>
        <w:adjustRightInd/>
        <w:snapToGrid/>
        <w:spacing w:line="68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二、《部门收入总表》</w:t>
      </w:r>
    </w:p>
    <w:p>
      <w:pPr>
        <w:keepNext w:val="0"/>
        <w:keepLines w:val="0"/>
        <w:pageBreakBefore w:val="0"/>
        <w:widowControl w:val="0"/>
        <w:kinsoku/>
        <w:wordWrap/>
        <w:overflowPunct/>
        <w:topLinePunct w:val="0"/>
        <w:autoSpaceDE/>
        <w:autoSpaceDN/>
        <w:bidi w:val="0"/>
        <w:adjustRightInd/>
        <w:snapToGrid/>
        <w:spacing w:line="68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三、《部门支出总表》</w:t>
      </w:r>
    </w:p>
    <w:p>
      <w:pPr>
        <w:keepNext w:val="0"/>
        <w:keepLines w:val="0"/>
        <w:pageBreakBefore w:val="0"/>
        <w:widowControl w:val="0"/>
        <w:kinsoku/>
        <w:wordWrap/>
        <w:overflowPunct/>
        <w:topLinePunct w:val="0"/>
        <w:autoSpaceDE/>
        <w:autoSpaceDN/>
        <w:bidi w:val="0"/>
        <w:adjustRightInd/>
        <w:snapToGrid/>
        <w:spacing w:line="68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四、《财政拨款收支总表》</w:t>
      </w:r>
    </w:p>
    <w:p>
      <w:pPr>
        <w:keepNext w:val="0"/>
        <w:keepLines w:val="0"/>
        <w:pageBreakBefore w:val="0"/>
        <w:widowControl w:val="0"/>
        <w:kinsoku/>
        <w:wordWrap/>
        <w:overflowPunct/>
        <w:topLinePunct w:val="0"/>
        <w:autoSpaceDE/>
        <w:autoSpaceDN/>
        <w:bidi w:val="0"/>
        <w:adjustRightInd/>
        <w:snapToGrid/>
        <w:spacing w:line="68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五、《一般公共预算支出表》</w:t>
      </w:r>
    </w:p>
    <w:p>
      <w:pPr>
        <w:keepNext w:val="0"/>
        <w:keepLines w:val="0"/>
        <w:pageBreakBefore w:val="0"/>
        <w:widowControl w:val="0"/>
        <w:kinsoku/>
        <w:wordWrap/>
        <w:overflowPunct/>
        <w:topLinePunct w:val="0"/>
        <w:autoSpaceDE/>
        <w:autoSpaceDN/>
        <w:bidi w:val="0"/>
        <w:adjustRightInd/>
        <w:snapToGrid/>
        <w:spacing w:line="68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六、《一般公共预算基本支出表》</w:t>
      </w:r>
    </w:p>
    <w:p>
      <w:pPr>
        <w:keepNext w:val="0"/>
        <w:keepLines w:val="0"/>
        <w:pageBreakBefore w:val="0"/>
        <w:widowControl w:val="0"/>
        <w:kinsoku/>
        <w:wordWrap/>
        <w:overflowPunct/>
        <w:topLinePunct w:val="0"/>
        <w:autoSpaceDE/>
        <w:autoSpaceDN/>
        <w:bidi w:val="0"/>
        <w:adjustRightInd/>
        <w:snapToGrid/>
        <w:spacing w:line="68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七、《一般公共预算“三公”经费支出表》</w:t>
      </w:r>
    </w:p>
    <w:p>
      <w:pPr>
        <w:keepNext w:val="0"/>
        <w:keepLines w:val="0"/>
        <w:pageBreakBefore w:val="0"/>
        <w:widowControl w:val="0"/>
        <w:kinsoku/>
        <w:wordWrap/>
        <w:overflowPunct/>
        <w:topLinePunct w:val="0"/>
        <w:autoSpaceDE/>
        <w:autoSpaceDN/>
        <w:bidi w:val="0"/>
        <w:adjustRightInd/>
        <w:snapToGrid/>
        <w:spacing w:line="68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八、《政府性基金预算支出表》</w:t>
      </w:r>
    </w:p>
    <w:p>
      <w:pPr>
        <w:keepNext w:val="0"/>
        <w:keepLines w:val="0"/>
        <w:pageBreakBefore w:val="0"/>
        <w:widowControl w:val="0"/>
        <w:kinsoku/>
        <w:wordWrap/>
        <w:overflowPunct/>
        <w:topLinePunct w:val="0"/>
        <w:autoSpaceDE/>
        <w:autoSpaceDN/>
        <w:bidi w:val="0"/>
        <w:adjustRightInd/>
        <w:snapToGrid/>
        <w:spacing w:line="680" w:lineRule="exact"/>
        <w:textAlignment w:val="auto"/>
        <w:outlineLvl w:val="9"/>
        <w:rPr>
          <w:rFonts w:hint="eastAsia" w:ascii="黑体" w:hAnsi="宋体" w:eastAsia="黑体" w:cs="黑体"/>
          <w:sz w:val="32"/>
          <w:szCs w:val="32"/>
        </w:rPr>
      </w:pPr>
      <w:r>
        <w:rPr>
          <w:rFonts w:ascii="仿宋_GB2312" w:hAnsi="宋体" w:eastAsia="仿宋_GB2312" w:cs="仿宋_GB2312"/>
          <w:sz w:val="32"/>
          <w:szCs w:val="32"/>
        </w:rPr>
        <w:t xml:space="preserve">   </w:t>
      </w: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pageBreakBefore w:val="0"/>
        <w:kinsoku/>
        <w:wordWrap/>
        <w:overflowPunct/>
        <w:topLinePunct w:val="0"/>
        <w:autoSpaceDE/>
        <w:autoSpaceDN/>
        <w:bidi w:val="0"/>
        <w:adjustRightInd/>
        <w:snapToGrid/>
        <w:spacing w:line="680" w:lineRule="exact"/>
        <w:jc w:val="center"/>
        <w:textAlignment w:val="auto"/>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lang w:eastAsia="zh-CN"/>
        </w:rPr>
        <w:t>中共景德镇市委办公室</w:t>
      </w:r>
      <w:r>
        <w:rPr>
          <w:rFonts w:hint="eastAsia" w:ascii="黑体" w:hAnsi="宋体" w:eastAsia="黑体" w:cs="黑体"/>
          <w:sz w:val="32"/>
          <w:szCs w:val="32"/>
        </w:rPr>
        <w:t>概况</w:t>
      </w:r>
    </w:p>
    <w:p>
      <w:pPr>
        <w:pageBreakBefore w:val="0"/>
        <w:kinsoku/>
        <w:wordWrap/>
        <w:overflowPunct/>
        <w:topLinePunct w:val="0"/>
        <w:autoSpaceDE/>
        <w:autoSpaceDN/>
        <w:bidi w:val="0"/>
        <w:adjustRightInd/>
        <w:snapToGrid/>
        <w:spacing w:line="680" w:lineRule="exact"/>
        <w:ind w:firstLine="630" w:firstLineChars="196"/>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一、部门主要职责</w:t>
      </w:r>
    </w:p>
    <w:p>
      <w:pPr>
        <w:pageBreakBefore w:val="0"/>
        <w:widowControl/>
        <w:kinsoku/>
        <w:wordWrap/>
        <w:overflowPunct/>
        <w:topLinePunct w:val="0"/>
        <w:autoSpaceDE/>
        <w:autoSpaceDN/>
        <w:bidi w:val="0"/>
        <w:adjustRightInd/>
        <w:snapToGrid/>
        <w:spacing w:line="680" w:lineRule="exact"/>
        <w:ind w:firstLine="627" w:firstLineChars="196"/>
        <w:jc w:val="left"/>
        <w:textAlignment w:val="auto"/>
        <w:rPr>
          <w:rFonts w:ascii="仿宋_GB2312" w:eastAsia="仿宋_GB2312"/>
          <w:sz w:val="32"/>
          <w:szCs w:val="32"/>
        </w:rPr>
      </w:pPr>
      <w:r>
        <w:rPr>
          <w:rFonts w:hint="eastAsia" w:ascii="仿宋_GB2312" w:eastAsia="仿宋_GB2312"/>
          <w:sz w:val="32"/>
          <w:szCs w:val="32"/>
        </w:rPr>
        <w:t>中共景德镇市委办公室（以下简称：市委办公室）是市委的中枢机关，其主要职责有：</w:t>
      </w:r>
    </w:p>
    <w:p>
      <w:pPr>
        <w:keepNext w:val="0"/>
        <w:keepLines w:val="0"/>
        <w:pageBreakBefore w:val="0"/>
        <w:widowControl w:val="0"/>
        <w:kinsoku/>
        <w:wordWrap/>
        <w:overflowPunct/>
        <w:topLinePunct w:val="0"/>
        <w:autoSpaceDE/>
        <w:autoSpaceDN/>
        <w:bidi w:val="0"/>
        <w:adjustRightInd/>
        <w:snapToGrid/>
        <w:spacing w:beforeAutospacing="0" w:after="0" w:afterAutospacing="0" w:line="680" w:lineRule="exact"/>
        <w:ind w:firstLine="640" w:firstLineChars="20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（一）负责市委重要文稿、文件和市委领导有关文稿的协调、起草和审查工作；负责市委、市委办公室日常文电的处理、制发和归档工作；负责市委、市委办公室印信的掌管使用。</w:t>
      </w:r>
    </w:p>
    <w:p>
      <w:pPr>
        <w:keepNext w:val="0"/>
        <w:keepLines w:val="0"/>
        <w:pageBreakBefore w:val="0"/>
        <w:widowControl w:val="0"/>
        <w:kinsoku/>
        <w:wordWrap/>
        <w:overflowPunct/>
        <w:topLinePunct w:val="0"/>
        <w:autoSpaceDE/>
        <w:autoSpaceDN/>
        <w:bidi w:val="0"/>
        <w:adjustRightInd/>
        <w:snapToGrid/>
        <w:spacing w:beforeAutospacing="0" w:after="0" w:afterAutospacing="0" w:line="680" w:lineRule="exact"/>
        <w:ind w:firstLine="640" w:firstLineChars="20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（二）负责市委重要会议的会务工作；负责市委重大活动和市委领导参加重要公务活动的组织安排。</w:t>
      </w:r>
    </w:p>
    <w:p>
      <w:pPr>
        <w:keepNext w:val="0"/>
        <w:keepLines w:val="0"/>
        <w:pageBreakBefore w:val="0"/>
        <w:widowControl w:val="0"/>
        <w:kinsoku/>
        <w:wordWrap/>
        <w:overflowPunct/>
        <w:topLinePunct w:val="0"/>
        <w:autoSpaceDE/>
        <w:autoSpaceDN/>
        <w:bidi w:val="0"/>
        <w:adjustRightInd/>
        <w:snapToGrid/>
        <w:spacing w:beforeAutospacing="0" w:after="0" w:afterAutospacing="0" w:line="680" w:lineRule="exact"/>
        <w:ind w:firstLine="640" w:firstLineChars="20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（三）围绕市委中心工作，收集和综合处理信息，为市委领导提供及时、准确、有效的信息和决策服务。</w:t>
      </w:r>
    </w:p>
    <w:p>
      <w:pPr>
        <w:keepNext w:val="0"/>
        <w:keepLines w:val="0"/>
        <w:pageBreakBefore w:val="0"/>
        <w:widowControl w:val="0"/>
        <w:kinsoku/>
        <w:wordWrap/>
        <w:overflowPunct/>
        <w:topLinePunct w:val="0"/>
        <w:autoSpaceDE/>
        <w:autoSpaceDN/>
        <w:bidi w:val="0"/>
        <w:adjustRightInd/>
        <w:snapToGrid/>
        <w:spacing w:beforeAutospacing="0" w:after="0" w:afterAutospacing="0" w:line="680" w:lineRule="exact"/>
        <w:ind w:firstLine="640" w:firstLineChars="20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（四）承办中央、省委和市委重大决策、重要工作部署的督促检查以及领导同志批示的督办落实；负责对市人大代表、政协委员提出的由党群系统办理的有关建议、提案的督办。</w:t>
      </w:r>
    </w:p>
    <w:p>
      <w:pPr>
        <w:keepNext w:val="0"/>
        <w:keepLines w:val="0"/>
        <w:pageBreakBefore w:val="0"/>
        <w:widowControl w:val="0"/>
        <w:kinsoku/>
        <w:wordWrap/>
        <w:overflowPunct/>
        <w:topLinePunct w:val="0"/>
        <w:autoSpaceDE/>
        <w:autoSpaceDN/>
        <w:bidi w:val="0"/>
        <w:adjustRightInd/>
        <w:snapToGrid/>
        <w:spacing w:beforeAutospacing="0" w:after="0" w:afterAutospacing="0" w:line="680" w:lineRule="exact"/>
        <w:ind w:firstLine="640" w:firstLineChars="20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（五）负责市委总值班工作，收集、报送市内突发事件信息，及时向市委领导报告重要情况，并协助处置重大紧急情况；负责办理全市副县级以上有关领导干部请假报备工作。</w:t>
      </w:r>
    </w:p>
    <w:p>
      <w:pPr>
        <w:keepNext w:val="0"/>
        <w:keepLines w:val="0"/>
        <w:pageBreakBefore w:val="0"/>
        <w:widowControl w:val="0"/>
        <w:kinsoku/>
        <w:wordWrap/>
        <w:overflowPunct/>
        <w:topLinePunct w:val="0"/>
        <w:autoSpaceDE/>
        <w:autoSpaceDN/>
        <w:bidi w:val="0"/>
        <w:adjustRightInd/>
        <w:snapToGrid/>
        <w:spacing w:beforeAutospacing="0" w:after="0" w:afterAutospacing="0" w:line="680" w:lineRule="exact"/>
        <w:ind w:firstLine="640" w:firstLineChars="20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（六）负责通过相关载体，接收受理群众向市委反映的情况及意见建议。</w:t>
      </w:r>
    </w:p>
    <w:p>
      <w:pPr>
        <w:keepNext w:val="0"/>
        <w:keepLines w:val="0"/>
        <w:pageBreakBefore w:val="0"/>
        <w:widowControl w:val="0"/>
        <w:kinsoku/>
        <w:wordWrap/>
        <w:overflowPunct/>
        <w:topLinePunct w:val="0"/>
        <w:autoSpaceDE/>
        <w:autoSpaceDN/>
        <w:bidi w:val="0"/>
        <w:adjustRightInd/>
        <w:snapToGrid/>
        <w:spacing w:beforeAutospacing="0" w:after="0" w:afterAutospacing="0" w:line="680" w:lineRule="exact"/>
        <w:ind w:firstLine="640" w:firstLineChars="20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（七）负责组织协调市委党内规范性文件的起草、审核、备案工作；负责对市委、市委办公室文件进行政策法规方面的前置审核；负责对县（市、区）、市级部门文件备案的审核等工作。</w:t>
      </w:r>
    </w:p>
    <w:p>
      <w:pPr>
        <w:keepNext w:val="0"/>
        <w:keepLines w:val="0"/>
        <w:pageBreakBefore w:val="0"/>
        <w:widowControl w:val="0"/>
        <w:kinsoku/>
        <w:wordWrap/>
        <w:overflowPunct/>
        <w:topLinePunct w:val="0"/>
        <w:autoSpaceDE/>
        <w:autoSpaceDN/>
        <w:bidi w:val="0"/>
        <w:adjustRightInd/>
        <w:snapToGrid/>
        <w:spacing w:beforeAutospacing="0" w:after="0" w:afterAutospacing="0" w:line="680" w:lineRule="exact"/>
        <w:ind w:firstLine="640" w:firstLineChars="20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（八）参与全市有关人才工作调研、政策制定，协助市委加强与优秀人才联系。</w:t>
      </w:r>
    </w:p>
    <w:p>
      <w:pPr>
        <w:keepNext w:val="0"/>
        <w:keepLines w:val="0"/>
        <w:pageBreakBefore w:val="0"/>
        <w:widowControl w:val="0"/>
        <w:kinsoku/>
        <w:wordWrap/>
        <w:overflowPunct/>
        <w:topLinePunct w:val="0"/>
        <w:autoSpaceDE/>
        <w:autoSpaceDN/>
        <w:bidi w:val="0"/>
        <w:adjustRightInd/>
        <w:snapToGrid/>
        <w:spacing w:beforeAutospacing="0" w:after="0" w:afterAutospacing="0" w:line="680" w:lineRule="exact"/>
        <w:ind w:firstLine="640" w:firstLineChars="20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（九）承担市委国家安全委员会办公室日常工作。</w:t>
      </w:r>
    </w:p>
    <w:p>
      <w:pPr>
        <w:keepNext w:val="0"/>
        <w:keepLines w:val="0"/>
        <w:pageBreakBefore w:val="0"/>
        <w:widowControl w:val="0"/>
        <w:kinsoku/>
        <w:wordWrap/>
        <w:overflowPunct/>
        <w:topLinePunct w:val="0"/>
        <w:autoSpaceDE/>
        <w:autoSpaceDN/>
        <w:bidi w:val="0"/>
        <w:adjustRightInd/>
        <w:snapToGrid/>
        <w:spacing w:beforeAutospacing="0" w:after="0" w:afterAutospacing="0" w:line="680" w:lineRule="exact"/>
        <w:ind w:firstLine="640" w:firstLineChars="20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（十）拟定全市对台工作和涉台事务的方针政策、工作计划；组织、指导、管理、协调全市对台工作，协调处理全市重大涉台活动的突发事件；指导和协调全市对台经济工作。</w:t>
      </w:r>
    </w:p>
    <w:p>
      <w:pPr>
        <w:keepNext w:val="0"/>
        <w:keepLines w:val="0"/>
        <w:pageBreakBefore w:val="0"/>
        <w:widowControl w:val="0"/>
        <w:kinsoku/>
        <w:wordWrap/>
        <w:overflowPunct/>
        <w:topLinePunct w:val="0"/>
        <w:autoSpaceDE/>
        <w:autoSpaceDN/>
        <w:bidi w:val="0"/>
        <w:adjustRightInd/>
        <w:snapToGrid/>
        <w:spacing w:beforeAutospacing="0" w:after="0" w:afterAutospacing="0" w:line="680" w:lineRule="exact"/>
        <w:ind w:firstLine="640" w:firstLineChars="20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（十一）履行全市档案工作行政管理职能，对全市行政区域内机关、团体、企事业单位和其他组织的档案工作实行监督和指导。</w:t>
      </w:r>
    </w:p>
    <w:p>
      <w:pPr>
        <w:keepNext w:val="0"/>
        <w:keepLines w:val="0"/>
        <w:pageBreakBefore w:val="0"/>
        <w:widowControl w:val="0"/>
        <w:kinsoku/>
        <w:wordWrap/>
        <w:overflowPunct/>
        <w:topLinePunct w:val="0"/>
        <w:autoSpaceDE/>
        <w:autoSpaceDN/>
        <w:bidi w:val="0"/>
        <w:adjustRightInd/>
        <w:snapToGrid/>
        <w:spacing w:beforeAutospacing="0" w:after="0" w:afterAutospacing="0" w:line="680" w:lineRule="exact"/>
        <w:ind w:firstLine="640" w:firstLineChars="200"/>
        <w:contextualSpacing/>
        <w:jc w:val="both"/>
        <w:textAlignment w:val="auto"/>
        <w:rPr>
          <w:rFonts w:hint="eastAsia" w:ascii="仿宋_GB2312" w:hAnsi="仿宋_GB2312" w:eastAsia="仿宋_GB2312" w:cs="仿宋_GB2312"/>
          <w:spacing w:val="-23"/>
          <w:sz w:val="32"/>
          <w:szCs w:val="32"/>
        </w:rPr>
      </w:pPr>
      <w:r>
        <w:rPr>
          <w:rFonts w:hint="eastAsia" w:ascii="仿宋_GB2312" w:hAnsi="仿宋_GB2312" w:eastAsia="仿宋_GB2312" w:cs="仿宋_GB2312"/>
          <w:sz w:val="32"/>
          <w:szCs w:val="32"/>
        </w:rPr>
        <w:t>（十二）</w:t>
      </w:r>
      <w:r>
        <w:rPr>
          <w:rFonts w:hint="eastAsia" w:ascii="仿宋_GB2312" w:hAnsi="仿宋_GB2312" w:eastAsia="仿宋_GB2312" w:cs="仿宋_GB2312"/>
          <w:spacing w:val="-23"/>
          <w:sz w:val="32"/>
          <w:szCs w:val="32"/>
        </w:rPr>
        <w:t>负责管理和统筹协调市本级党政机关国内公务接待工作。</w:t>
      </w:r>
    </w:p>
    <w:p>
      <w:pPr>
        <w:keepNext w:val="0"/>
        <w:keepLines w:val="0"/>
        <w:pageBreakBefore w:val="0"/>
        <w:widowControl w:val="0"/>
        <w:kinsoku/>
        <w:wordWrap/>
        <w:overflowPunct/>
        <w:topLinePunct w:val="0"/>
        <w:autoSpaceDE/>
        <w:autoSpaceDN/>
        <w:bidi w:val="0"/>
        <w:adjustRightInd/>
        <w:snapToGrid/>
        <w:spacing w:beforeAutospacing="0" w:after="0" w:afterAutospacing="0" w:line="680" w:lineRule="exact"/>
        <w:ind w:firstLine="640" w:firstLineChars="20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（十三）负责市委机关大院的行政管理、综合治理、财务管理和固定资产管理工作。</w:t>
      </w:r>
    </w:p>
    <w:p>
      <w:pPr>
        <w:keepNext w:val="0"/>
        <w:keepLines w:val="0"/>
        <w:pageBreakBefore w:val="0"/>
        <w:widowControl w:val="0"/>
        <w:kinsoku/>
        <w:wordWrap/>
        <w:overflowPunct/>
        <w:topLinePunct w:val="0"/>
        <w:autoSpaceDE/>
        <w:autoSpaceDN/>
        <w:bidi w:val="0"/>
        <w:adjustRightInd/>
        <w:snapToGrid/>
        <w:spacing w:beforeAutospacing="0" w:after="0" w:afterAutospacing="0" w:line="680" w:lineRule="exact"/>
        <w:ind w:firstLine="640" w:firstLineChars="20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（十四）负责全市党委系统办公室的业务指导工作。</w:t>
      </w:r>
    </w:p>
    <w:p>
      <w:pPr>
        <w:keepNext w:val="0"/>
        <w:keepLines w:val="0"/>
        <w:pageBreakBefore w:val="0"/>
        <w:widowControl w:val="0"/>
        <w:kinsoku/>
        <w:wordWrap/>
        <w:overflowPunct/>
        <w:topLinePunct w:val="0"/>
        <w:autoSpaceDE/>
        <w:autoSpaceDN/>
        <w:bidi w:val="0"/>
        <w:adjustRightInd/>
        <w:snapToGrid/>
        <w:spacing w:beforeAutospacing="0" w:after="0" w:afterAutospacing="0" w:line="680" w:lineRule="exact"/>
        <w:ind w:firstLine="640" w:firstLineChars="20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（十五）完成市委交办的其他事项。</w:t>
      </w:r>
    </w:p>
    <w:p>
      <w:pPr>
        <w:pageBreakBefore w:val="0"/>
        <w:kinsoku/>
        <w:wordWrap/>
        <w:overflowPunct/>
        <w:topLinePunct w:val="0"/>
        <w:autoSpaceDE/>
        <w:autoSpaceDN/>
        <w:bidi w:val="0"/>
        <w:adjustRightInd/>
        <w:snapToGrid/>
        <w:spacing w:line="680" w:lineRule="exact"/>
        <w:ind w:firstLine="630" w:firstLineChars="196"/>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二、部门基本情况</w:t>
      </w:r>
    </w:p>
    <w:p>
      <w:pPr>
        <w:keepNext w:val="0"/>
        <w:keepLines w:val="0"/>
        <w:pageBreakBefore w:val="0"/>
        <w:widowControl w:val="0"/>
        <w:kinsoku/>
        <w:wordWrap/>
        <w:overflowPunct/>
        <w:topLinePunct w:val="0"/>
        <w:autoSpaceDE/>
        <w:autoSpaceDN/>
        <w:bidi w:val="0"/>
        <w:adjustRightInd/>
        <w:snapToGrid/>
        <w:spacing w:line="680" w:lineRule="exact"/>
        <w:ind w:firstLine="640" w:firstLineChars="200"/>
        <w:textAlignment w:val="auto"/>
        <w:rPr>
          <w:rFonts w:hint="eastAsia" w:ascii="仿宋_GB2312" w:hAnsi="宋体" w:eastAsia="仿宋_GB2312" w:cs="仿宋_GB2312"/>
          <w:sz w:val="32"/>
          <w:szCs w:val="32"/>
        </w:rPr>
      </w:pPr>
      <w:r>
        <w:rPr>
          <w:rFonts w:hint="eastAsia" w:ascii="仿宋_GB2312" w:hAnsi="仿宋_GB2312" w:eastAsia="仿宋_GB2312" w:cs="仿宋_GB2312"/>
          <w:sz w:val="32"/>
          <w:szCs w:val="32"/>
        </w:rPr>
        <w:t>本部门共有预算单位1个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即部门本级。编制数为96人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其中行政编制57人、参照公务员管理事业编制4人、全额补助事业编制35人。实有人数119人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其中在职80人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包括行政51人、参照公务员管理3人、全额补助26人；退休39人。</w:t>
      </w:r>
    </w:p>
    <w:p>
      <w:pPr>
        <w:pageBreakBefore w:val="0"/>
        <w:kinsoku/>
        <w:wordWrap/>
        <w:overflowPunct/>
        <w:topLinePunct w:val="0"/>
        <w:autoSpaceDE/>
        <w:autoSpaceDN/>
        <w:bidi w:val="0"/>
        <w:adjustRightInd/>
        <w:snapToGrid/>
        <w:spacing w:line="680" w:lineRule="exact"/>
        <w:jc w:val="center"/>
        <w:textAlignment w:val="auto"/>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lang w:eastAsia="zh-CN"/>
        </w:rPr>
        <w:t>中共景德镇市委办公室</w:t>
      </w:r>
      <w:r>
        <w:rPr>
          <w:rFonts w:hint="eastAsia" w:ascii="黑体" w:hAnsi="宋体" w:eastAsia="黑体" w:cs="黑体"/>
          <w:sz w:val="32"/>
          <w:szCs w:val="32"/>
          <w:lang w:val="en-US" w:eastAsia="zh-CN"/>
        </w:rPr>
        <w:t>2020年</w:t>
      </w:r>
      <w:r>
        <w:rPr>
          <w:rFonts w:hint="eastAsia" w:ascii="黑体" w:hAnsi="宋体" w:eastAsia="黑体" w:cs="黑体"/>
          <w:sz w:val="32"/>
          <w:szCs w:val="32"/>
        </w:rPr>
        <w:t>部门预算情况说明</w:t>
      </w:r>
    </w:p>
    <w:p>
      <w:pPr>
        <w:pageBreakBefore w:val="0"/>
        <w:kinsoku/>
        <w:wordWrap/>
        <w:overflowPunct/>
        <w:topLinePunct w:val="0"/>
        <w:autoSpaceDE/>
        <w:autoSpaceDN/>
        <w:bidi w:val="0"/>
        <w:adjustRightInd/>
        <w:snapToGrid/>
        <w:spacing w:line="68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w:t>
      </w:r>
      <w:r>
        <w:rPr>
          <w:rFonts w:hint="eastAsia" w:ascii="楷体_GB2312" w:hAnsi="楷体_GB2312" w:eastAsia="楷体_GB2312" w:cs="楷体_GB2312"/>
          <w:b/>
          <w:bCs/>
          <w:sz w:val="32"/>
          <w:szCs w:val="32"/>
          <w:lang w:val="en-US" w:eastAsia="zh-CN"/>
        </w:rPr>
        <w:t>2020</w:t>
      </w:r>
      <w:r>
        <w:rPr>
          <w:rFonts w:hint="eastAsia" w:ascii="楷体_GB2312" w:hAnsi="楷体_GB2312" w:eastAsia="楷体_GB2312" w:cs="楷体_GB2312"/>
          <w:b/>
          <w:bCs/>
          <w:sz w:val="32"/>
          <w:szCs w:val="32"/>
        </w:rPr>
        <w:t>年部门预算收支情况说明</w:t>
      </w:r>
    </w:p>
    <w:p>
      <w:pPr>
        <w:pageBreakBefore w:val="0"/>
        <w:kinsoku/>
        <w:wordWrap/>
        <w:overflowPunct/>
        <w:topLinePunct w:val="0"/>
        <w:autoSpaceDE/>
        <w:autoSpaceDN/>
        <w:bidi w:val="0"/>
        <w:adjustRightInd/>
        <w:snapToGrid/>
        <w:spacing w:line="680" w:lineRule="exact"/>
        <w:ind w:firstLine="482" w:firstLineChars="150"/>
        <w:textAlignment w:val="auto"/>
        <w:rPr>
          <w:rFonts w:ascii="仿宋_GB2312" w:eastAsia="仿宋_GB2312" w:cs="Times New Roman"/>
          <w:b/>
          <w:bCs/>
          <w:sz w:val="32"/>
          <w:szCs w:val="32"/>
        </w:rPr>
      </w:pPr>
      <w:r>
        <w:rPr>
          <w:rFonts w:hint="eastAsia" w:ascii="仿宋_GB2312" w:hAnsi="宋体" w:eastAsia="仿宋_GB2312" w:cs="仿宋_GB2312"/>
          <w:b/>
          <w:bCs/>
          <w:sz w:val="32"/>
          <w:szCs w:val="32"/>
        </w:rPr>
        <w:t>（一）预算收入情况</w:t>
      </w:r>
    </w:p>
    <w:p>
      <w:pPr>
        <w:pageBreakBefore w:val="0"/>
        <w:kinsoku/>
        <w:wordWrap/>
        <w:overflowPunct/>
        <w:topLinePunct w:val="0"/>
        <w:autoSpaceDE/>
        <w:autoSpaceDN/>
        <w:bidi w:val="0"/>
        <w:adjustRightInd/>
        <w:snapToGrid/>
        <w:spacing w:line="680" w:lineRule="exact"/>
        <w:ind w:firstLine="6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市委办公室</w:t>
      </w:r>
      <w:r>
        <w:rPr>
          <w:rFonts w:hint="eastAsia" w:ascii="仿宋_GB2312" w:hAnsi="宋体" w:eastAsia="仿宋_GB2312" w:cs="仿宋_GB2312"/>
          <w:sz w:val="32"/>
          <w:szCs w:val="32"/>
        </w:rPr>
        <w:t>收入预算总额为</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358.37</w:t>
      </w:r>
      <w:r>
        <w:rPr>
          <w:rFonts w:hint="eastAsia" w:ascii="仿宋_GB2312" w:hAnsi="宋体" w:eastAsia="仿宋_GB2312" w:cs="仿宋_GB2312"/>
          <w:sz w:val="32"/>
          <w:szCs w:val="32"/>
        </w:rPr>
        <w:t>万元，与上年预算</w:t>
      </w:r>
      <w:r>
        <w:rPr>
          <w:rFonts w:hint="eastAsia" w:ascii="仿宋_GB2312" w:hAnsi="宋体" w:eastAsia="仿宋_GB2312" w:cs="仿宋_GB2312"/>
          <w:sz w:val="32"/>
          <w:szCs w:val="32"/>
          <w:lang w:eastAsia="zh-CN"/>
        </w:rPr>
        <w:t>相比</w:t>
      </w:r>
      <w:r>
        <w:rPr>
          <w:rFonts w:hint="eastAsia" w:ascii="仿宋_GB2312" w:hAnsi="宋体" w:eastAsia="仿宋_GB2312" w:cs="仿宋_GB2312"/>
          <w:sz w:val="32"/>
          <w:szCs w:val="32"/>
        </w:rPr>
        <w:t>增</w:t>
      </w:r>
      <w:r>
        <w:rPr>
          <w:rFonts w:hint="eastAsia" w:ascii="仿宋_GB2312" w:hAnsi="宋体" w:eastAsia="仿宋_GB2312" w:cs="仿宋_GB2312"/>
          <w:sz w:val="32"/>
          <w:szCs w:val="32"/>
          <w:lang w:eastAsia="zh-CN"/>
        </w:rPr>
        <w:t>加</w:t>
      </w:r>
      <w:r>
        <w:rPr>
          <w:rFonts w:hint="eastAsia" w:ascii="仿宋_GB2312" w:hAnsi="宋体" w:eastAsia="仿宋_GB2312" w:cs="仿宋_GB2312"/>
          <w:sz w:val="32"/>
          <w:szCs w:val="32"/>
          <w:lang w:val="en-US" w:eastAsia="zh-CN"/>
        </w:rPr>
        <w:t>157.10万元</w:t>
      </w:r>
      <w:r>
        <w:rPr>
          <w:rFonts w:hint="eastAsia" w:ascii="仿宋_GB2312" w:hAnsi="宋体" w:eastAsia="仿宋_GB2312" w:cs="仿宋_GB2312"/>
          <w:sz w:val="32"/>
          <w:szCs w:val="32"/>
        </w:rPr>
        <w:t>。主要原因是上年结余结转收入（包括上年项目经费结余结转</w:t>
      </w:r>
      <w:r>
        <w:rPr>
          <w:rFonts w:hint="eastAsia" w:ascii="仿宋_GB2312" w:hAnsi="宋体" w:eastAsia="仿宋_GB2312" w:cs="仿宋_GB2312"/>
          <w:sz w:val="32"/>
          <w:szCs w:val="32"/>
          <w:lang w:eastAsia="zh-CN"/>
        </w:rPr>
        <w:t>指标</w:t>
      </w:r>
      <w:r>
        <w:rPr>
          <w:rFonts w:hint="eastAsia" w:ascii="仿宋_GB2312" w:hAnsi="宋体" w:eastAsia="仿宋_GB2312" w:cs="仿宋_GB2312"/>
          <w:sz w:val="32"/>
          <w:szCs w:val="32"/>
          <w:lang w:val="en-US" w:eastAsia="zh-CN"/>
        </w:rPr>
        <w:t>101.06</w:t>
      </w:r>
      <w:r>
        <w:rPr>
          <w:rFonts w:hint="eastAsia" w:ascii="仿宋_GB2312" w:hAnsi="宋体" w:eastAsia="仿宋_GB2312" w:cs="仿宋_GB2312"/>
          <w:sz w:val="32"/>
          <w:szCs w:val="32"/>
        </w:rPr>
        <w:t>万元）。其中：当年公共财政拨款收入</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796.97</w:t>
      </w:r>
      <w:r>
        <w:rPr>
          <w:rFonts w:hint="eastAsia" w:ascii="仿宋_GB2312" w:hAnsi="宋体" w:eastAsia="仿宋_GB2312" w:cs="仿宋_GB2312"/>
          <w:sz w:val="32"/>
          <w:szCs w:val="32"/>
        </w:rPr>
        <w:t>万元，占收入预算总额的</w:t>
      </w:r>
      <w:r>
        <w:rPr>
          <w:rFonts w:hint="eastAsia" w:ascii="仿宋_GB2312" w:hAnsi="仿宋_GB2312" w:eastAsia="仿宋_GB2312" w:cs="仿宋_GB2312"/>
          <w:sz w:val="32"/>
          <w:szCs w:val="32"/>
        </w:rPr>
        <w:t>76.20</w:t>
      </w:r>
      <w:r>
        <w:rPr>
          <w:rFonts w:ascii="仿宋_GB2312" w:hAnsi="宋体" w:eastAsia="仿宋_GB2312" w:cs="仿宋_GB2312"/>
          <w:sz w:val="32"/>
          <w:szCs w:val="32"/>
        </w:rPr>
        <w:t>%</w:t>
      </w:r>
      <w:r>
        <w:rPr>
          <w:rFonts w:hint="eastAsia" w:ascii="仿宋_GB2312" w:hAnsi="宋体" w:eastAsia="仿宋_GB2312" w:cs="仿宋_GB2312"/>
          <w:sz w:val="32"/>
          <w:szCs w:val="32"/>
        </w:rPr>
        <w:t>；政府性基金拨款收入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；当年其他各项收入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；上年结余结转收入</w:t>
      </w:r>
      <w:r>
        <w:rPr>
          <w:rFonts w:hint="eastAsia" w:ascii="仿宋_GB2312" w:hAnsi="仿宋_GB2312" w:eastAsia="仿宋_GB2312" w:cs="仿宋_GB2312"/>
          <w:sz w:val="32"/>
          <w:szCs w:val="32"/>
        </w:rPr>
        <w:t>561.40</w:t>
      </w:r>
      <w:r>
        <w:rPr>
          <w:rFonts w:hint="eastAsia" w:ascii="仿宋_GB2312" w:hAnsi="宋体" w:eastAsia="仿宋_GB2312" w:cs="仿宋_GB2312"/>
          <w:sz w:val="32"/>
          <w:szCs w:val="32"/>
        </w:rPr>
        <w:t>万元，占收入预算总额的</w:t>
      </w:r>
      <w:r>
        <w:rPr>
          <w:rFonts w:hint="eastAsia" w:ascii="仿宋_GB2312" w:hAnsi="仿宋_GB2312" w:eastAsia="仿宋_GB2312" w:cs="仿宋_GB2312"/>
          <w:sz w:val="32"/>
          <w:szCs w:val="32"/>
        </w:rPr>
        <w:t>23.80</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pageBreakBefore w:val="0"/>
        <w:kinsoku/>
        <w:wordWrap/>
        <w:overflowPunct/>
        <w:topLinePunct w:val="0"/>
        <w:autoSpaceDE/>
        <w:autoSpaceDN/>
        <w:bidi w:val="0"/>
        <w:adjustRightInd/>
        <w:snapToGrid/>
        <w:spacing w:line="680" w:lineRule="exact"/>
        <w:ind w:firstLine="482" w:firstLineChars="150"/>
        <w:textAlignment w:val="auto"/>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pageBreakBefore w:val="0"/>
        <w:kinsoku/>
        <w:wordWrap/>
        <w:overflowPunct/>
        <w:topLinePunct w:val="0"/>
        <w:autoSpaceDE/>
        <w:autoSpaceDN/>
        <w:bidi w:val="0"/>
        <w:adjustRightInd/>
        <w:snapToGrid/>
        <w:spacing w:line="680" w:lineRule="exact"/>
        <w:ind w:firstLine="482" w:firstLineChars="150"/>
        <w:textAlignment w:val="auto"/>
        <w:rPr>
          <w:rFonts w:hint="eastAsia" w:ascii="仿宋_GB2312" w:eastAsia="仿宋_GB2312" w:cs="Times New Roman"/>
          <w:sz w:val="32"/>
          <w:szCs w:val="32"/>
          <w:lang w:eastAsia="zh-CN"/>
        </w:rPr>
      </w:pPr>
      <w:r>
        <w:rPr>
          <w:rFonts w:ascii="仿宋_GB2312" w:hAnsi="宋体" w:eastAsia="仿宋_GB2312" w:cs="仿宋_GB2312"/>
          <w:b/>
          <w:bCs/>
          <w:sz w:val="32"/>
          <w:szCs w:val="32"/>
        </w:rPr>
        <w:t xml:space="preserve"> </w:t>
      </w: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市委办公室</w:t>
      </w:r>
      <w:r>
        <w:rPr>
          <w:rFonts w:hint="eastAsia" w:ascii="仿宋_GB2312" w:hAnsi="宋体" w:eastAsia="仿宋_GB2312" w:cs="仿宋_GB2312"/>
          <w:sz w:val="32"/>
          <w:szCs w:val="32"/>
        </w:rPr>
        <w:t>支出预算总额为</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358.37</w:t>
      </w:r>
      <w:r>
        <w:rPr>
          <w:rFonts w:hint="eastAsia" w:ascii="仿宋_GB2312" w:hAnsi="宋体" w:eastAsia="仿宋_GB2312" w:cs="仿宋_GB2312"/>
          <w:sz w:val="32"/>
          <w:szCs w:val="32"/>
        </w:rPr>
        <w:t>万元，与上年预算</w:t>
      </w:r>
      <w:r>
        <w:rPr>
          <w:rFonts w:hint="eastAsia" w:ascii="仿宋_GB2312" w:hAnsi="宋体" w:eastAsia="仿宋_GB2312" w:cs="仿宋_GB2312"/>
          <w:sz w:val="32"/>
          <w:szCs w:val="32"/>
          <w:lang w:eastAsia="zh-CN"/>
        </w:rPr>
        <w:t>相比</w:t>
      </w:r>
      <w:r>
        <w:rPr>
          <w:rFonts w:hint="eastAsia" w:ascii="仿宋_GB2312" w:hAnsi="宋体" w:eastAsia="仿宋_GB2312" w:cs="仿宋_GB2312"/>
          <w:sz w:val="32"/>
          <w:szCs w:val="32"/>
        </w:rPr>
        <w:t>增</w:t>
      </w:r>
      <w:r>
        <w:rPr>
          <w:rFonts w:hint="eastAsia" w:ascii="仿宋_GB2312" w:hAnsi="宋体" w:eastAsia="仿宋_GB2312" w:cs="仿宋_GB2312"/>
          <w:sz w:val="32"/>
          <w:szCs w:val="32"/>
          <w:lang w:eastAsia="zh-CN"/>
        </w:rPr>
        <w:t>加</w:t>
      </w:r>
      <w:r>
        <w:rPr>
          <w:rFonts w:hint="eastAsia" w:ascii="仿宋_GB2312" w:hAnsi="宋体" w:eastAsia="仿宋_GB2312" w:cs="仿宋_GB2312"/>
          <w:sz w:val="32"/>
          <w:szCs w:val="32"/>
          <w:lang w:val="en-US" w:eastAsia="zh-CN"/>
        </w:rPr>
        <w:t>157.10万元</w:t>
      </w:r>
      <w:r>
        <w:rPr>
          <w:rFonts w:hint="eastAsia" w:ascii="仿宋_GB2312" w:hAnsi="宋体" w:eastAsia="仿宋_GB2312" w:cs="仿宋_GB2312"/>
          <w:sz w:val="32"/>
          <w:szCs w:val="32"/>
        </w:rPr>
        <w:t>。主要原因是上年结余结转</w:t>
      </w:r>
      <w:r>
        <w:rPr>
          <w:rFonts w:hint="eastAsia" w:ascii="仿宋_GB2312" w:hAnsi="宋体" w:eastAsia="仿宋_GB2312" w:cs="仿宋_GB2312"/>
          <w:sz w:val="32"/>
          <w:szCs w:val="32"/>
          <w:lang w:eastAsia="zh-CN"/>
        </w:rPr>
        <w:t>支出</w:t>
      </w:r>
      <w:r>
        <w:rPr>
          <w:rFonts w:hint="eastAsia" w:ascii="仿宋_GB2312" w:hAnsi="宋体" w:eastAsia="仿宋_GB2312" w:cs="仿宋_GB2312"/>
          <w:sz w:val="32"/>
          <w:szCs w:val="32"/>
        </w:rPr>
        <w:t>（包括上年项目经费结余结转</w:t>
      </w:r>
      <w:r>
        <w:rPr>
          <w:rFonts w:hint="eastAsia" w:ascii="仿宋_GB2312" w:hAnsi="宋体" w:eastAsia="仿宋_GB2312" w:cs="仿宋_GB2312"/>
          <w:sz w:val="32"/>
          <w:szCs w:val="32"/>
          <w:lang w:eastAsia="zh-CN"/>
        </w:rPr>
        <w:t>指标</w:t>
      </w:r>
      <w:r>
        <w:rPr>
          <w:rFonts w:hint="eastAsia" w:ascii="仿宋_GB2312" w:hAnsi="宋体" w:eastAsia="仿宋_GB2312" w:cs="仿宋_GB2312"/>
          <w:sz w:val="32"/>
          <w:szCs w:val="32"/>
          <w:lang w:val="en-US" w:eastAsia="zh-CN"/>
        </w:rPr>
        <w:t>101.06</w:t>
      </w:r>
      <w:r>
        <w:rPr>
          <w:rFonts w:hint="eastAsia" w:ascii="仿宋_GB2312" w:hAnsi="宋体" w:eastAsia="仿宋_GB2312" w:cs="仿宋_GB2312"/>
          <w:sz w:val="32"/>
          <w:szCs w:val="32"/>
        </w:rPr>
        <w:t>万元）。其中：按支出项目类别划分：基本支出</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693.64</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71.81</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124.92</w:t>
      </w:r>
      <w:r>
        <w:rPr>
          <w:rFonts w:hint="eastAsia" w:ascii="仿宋_GB2312" w:hAnsi="宋体" w:eastAsia="仿宋_GB2312" w:cs="仿宋_GB2312"/>
          <w:sz w:val="32"/>
          <w:szCs w:val="32"/>
        </w:rPr>
        <w:t>万元、商品和服务支出</w:t>
      </w:r>
      <w:r>
        <w:rPr>
          <w:rFonts w:hint="eastAsia" w:ascii="仿宋_GB2312" w:hAnsi="仿宋_GB2312" w:eastAsia="仿宋_GB2312" w:cs="仿宋_GB2312"/>
          <w:sz w:val="32"/>
          <w:szCs w:val="32"/>
        </w:rPr>
        <w:t>566.56</w:t>
      </w:r>
      <w:r>
        <w:rPr>
          <w:rFonts w:hint="eastAsia" w:ascii="仿宋_GB2312" w:hAnsi="宋体" w:eastAsia="仿宋_GB2312" w:cs="仿宋_GB2312"/>
          <w:sz w:val="32"/>
          <w:szCs w:val="32"/>
        </w:rPr>
        <w:t>万元、对个人和家庭的补助</w:t>
      </w:r>
      <w:r>
        <w:rPr>
          <w:rFonts w:hint="eastAsia" w:ascii="仿宋_GB2312" w:hAnsi="仿宋_GB2312" w:eastAsia="仿宋_GB2312" w:cs="仿宋_GB2312"/>
          <w:sz w:val="32"/>
          <w:szCs w:val="32"/>
        </w:rPr>
        <w:t>2.16</w:t>
      </w:r>
      <w:r>
        <w:rPr>
          <w:rFonts w:hint="eastAsia" w:ascii="仿宋_GB2312" w:hAnsi="宋体" w:eastAsia="仿宋_GB2312" w:cs="仿宋_GB2312"/>
          <w:sz w:val="32"/>
          <w:szCs w:val="32"/>
        </w:rPr>
        <w:t>万元；项目支出</w:t>
      </w:r>
      <w:r>
        <w:rPr>
          <w:rFonts w:hint="eastAsia" w:ascii="仿宋_GB2312" w:hAnsi="仿宋_GB2312" w:eastAsia="仿宋_GB2312" w:cs="仿宋_GB2312"/>
          <w:sz w:val="32"/>
          <w:szCs w:val="32"/>
        </w:rPr>
        <w:t>664.73</w:t>
      </w:r>
      <w:r>
        <w:rPr>
          <w:rFonts w:hint="eastAsia" w:ascii="仿宋_GB2312" w:hAnsi="宋体" w:eastAsia="仿宋_GB2312" w:cs="仿宋_GB2312"/>
          <w:sz w:val="32"/>
          <w:szCs w:val="32"/>
        </w:rPr>
        <w:t>万元，占支出总额的</w:t>
      </w:r>
      <w:r>
        <w:rPr>
          <w:rFonts w:hint="eastAsia" w:ascii="仿宋_GB2312" w:hAnsi="仿宋_GB2312" w:eastAsia="仿宋_GB2312" w:cs="仿宋_GB2312"/>
          <w:sz w:val="32"/>
          <w:szCs w:val="32"/>
        </w:rPr>
        <w:t>28.19</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万元、商品和服务支出</w:t>
      </w:r>
      <w:r>
        <w:rPr>
          <w:rFonts w:hint="eastAsia" w:ascii="仿宋_GB2312" w:hAnsi="宋体" w:eastAsia="仿宋_GB2312" w:cs="仿宋_GB2312"/>
          <w:sz w:val="32"/>
          <w:szCs w:val="32"/>
          <w:lang w:val="en-US" w:eastAsia="zh-CN"/>
        </w:rPr>
        <w:t>617.55</w:t>
      </w:r>
      <w:r>
        <w:rPr>
          <w:rFonts w:hint="eastAsia" w:ascii="仿宋_GB2312" w:hAnsi="宋体" w:eastAsia="仿宋_GB2312" w:cs="仿宋_GB2312"/>
          <w:sz w:val="32"/>
          <w:szCs w:val="32"/>
        </w:rPr>
        <w:t>万元、其他资本性支出</w:t>
      </w:r>
      <w:r>
        <w:rPr>
          <w:rFonts w:hint="eastAsia" w:ascii="仿宋_GB2312" w:hAnsi="宋体" w:eastAsia="仿宋_GB2312" w:cs="仿宋_GB2312"/>
          <w:sz w:val="32"/>
          <w:szCs w:val="32"/>
          <w:lang w:val="en-US" w:eastAsia="zh-CN"/>
        </w:rPr>
        <w:t>47.18</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8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宋体" w:eastAsia="仿宋_GB2312" w:cs="仿宋_GB2312"/>
          <w:sz w:val="32"/>
          <w:szCs w:val="32"/>
        </w:rPr>
        <w:t>按支出功能项目科目划分：</w:t>
      </w:r>
      <w:r>
        <w:rPr>
          <w:rFonts w:hint="eastAsia" w:ascii="仿宋_GB2312" w:hAnsi="仿宋_GB2312" w:eastAsia="仿宋_GB2312" w:cs="仿宋_GB2312"/>
          <w:sz w:val="32"/>
          <w:szCs w:val="32"/>
        </w:rPr>
        <w:t>一般公共服务支出</w:t>
      </w:r>
      <w:r>
        <w:rPr>
          <w:rFonts w:hint="eastAsia" w:ascii="仿宋_GB2312" w:hAnsi="仿宋_GB2312" w:eastAsia="仿宋_GB2312" w:cs="仿宋_GB2312"/>
          <w:sz w:val="32"/>
          <w:szCs w:val="32"/>
          <w:lang w:val="en-US" w:eastAsia="zh-CN"/>
        </w:rPr>
        <w:t>2,128.26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占公共财政拨款支出预算的</w:t>
      </w:r>
      <w:r>
        <w:rPr>
          <w:rFonts w:hint="eastAsia" w:ascii="仿宋_GB2312" w:hAnsi="仿宋_GB2312" w:eastAsia="仿宋_GB2312" w:cs="仿宋_GB2312"/>
          <w:sz w:val="32"/>
          <w:szCs w:val="32"/>
          <w:lang w:val="en-US" w:eastAsia="zh-CN"/>
        </w:rPr>
        <w:t>90.24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社会保障和就业支出88.58万元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占公共财政拨款支出预算的</w:t>
      </w:r>
      <w:r>
        <w:rPr>
          <w:rFonts w:hint="eastAsia" w:ascii="仿宋_GB2312" w:hAnsi="仿宋_GB2312" w:eastAsia="仿宋_GB2312" w:cs="仿宋_GB2312"/>
          <w:sz w:val="32"/>
          <w:szCs w:val="32"/>
          <w:lang w:val="en-US" w:eastAsia="zh-CN"/>
        </w:rPr>
        <w:t>3.76</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卫生健康支出77.39万元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占公共财政拨款支出预算的</w:t>
      </w:r>
      <w:r>
        <w:rPr>
          <w:rFonts w:hint="eastAsia" w:ascii="仿宋_GB2312" w:hAnsi="仿宋_GB2312" w:eastAsia="仿宋_GB2312" w:cs="仿宋_GB2312"/>
          <w:sz w:val="32"/>
          <w:szCs w:val="32"/>
          <w:lang w:val="en-US" w:eastAsia="zh-CN"/>
        </w:rPr>
        <w:t>3.28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住房保障支出64.14万元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占公共财政拨款支出预算的</w:t>
      </w:r>
      <w:r>
        <w:rPr>
          <w:rFonts w:hint="eastAsia" w:ascii="仿宋_GB2312" w:hAnsi="仿宋_GB2312" w:eastAsia="仿宋_GB2312" w:cs="仿宋_GB2312"/>
          <w:sz w:val="32"/>
          <w:szCs w:val="32"/>
          <w:lang w:val="en-US" w:eastAsia="zh-CN"/>
        </w:rPr>
        <w:t>2.72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pageBreakBefore w:val="0"/>
        <w:kinsoku/>
        <w:wordWrap/>
        <w:overflowPunct/>
        <w:topLinePunct w:val="0"/>
        <w:autoSpaceDE/>
        <w:autoSpaceDN/>
        <w:bidi w:val="0"/>
        <w:adjustRightInd/>
        <w:snapToGrid/>
        <w:spacing w:line="680" w:lineRule="exact"/>
        <w:ind w:firstLine="640" w:firstLineChars="200"/>
        <w:textAlignment w:val="auto"/>
        <w:rPr>
          <w:sz w:val="32"/>
          <w:szCs w:val="32"/>
        </w:rPr>
      </w:pPr>
      <w:r>
        <w:rPr>
          <w:rFonts w:hint="eastAsia" w:ascii="仿宋_GB2312" w:hAnsi="宋体" w:eastAsia="仿宋_GB2312" w:cs="仿宋_GB2312"/>
          <w:sz w:val="32"/>
          <w:szCs w:val="32"/>
        </w:rPr>
        <w:t>按支出经济分类划分：工资福利支出</w:t>
      </w:r>
      <w:r>
        <w:rPr>
          <w:rFonts w:hint="eastAsia" w:ascii="仿宋_GB2312" w:hAnsi="宋体" w:eastAsia="仿宋_GB2312" w:cs="仿宋_GB2312"/>
          <w:sz w:val="32"/>
          <w:szCs w:val="32"/>
          <w:lang w:val="en-US" w:eastAsia="zh-CN"/>
        </w:rPr>
        <w:t>1,124.92</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47.70</w:t>
      </w:r>
      <w:r>
        <w:rPr>
          <w:rFonts w:ascii="仿宋_GB2312" w:hAnsi="宋体" w:eastAsia="仿宋_GB2312" w:cs="仿宋_GB2312"/>
          <w:sz w:val="32"/>
          <w:szCs w:val="32"/>
        </w:rPr>
        <w:t>%</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1,184.11</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50.21</w:t>
      </w:r>
      <w:r>
        <w:rPr>
          <w:rFonts w:ascii="仿宋_GB2312" w:hAnsi="宋体" w:eastAsia="仿宋_GB2312" w:cs="仿宋_GB2312"/>
          <w:sz w:val="32"/>
          <w:szCs w:val="32"/>
        </w:rPr>
        <w:t>%</w:t>
      </w:r>
      <w:r>
        <w:rPr>
          <w:rFonts w:hint="eastAsia" w:ascii="仿宋_GB2312" w:hAnsi="宋体" w:eastAsia="仿宋_GB2312" w:cs="仿宋_GB2312"/>
          <w:sz w:val="32"/>
          <w:szCs w:val="32"/>
        </w:rPr>
        <w:t>；对个人和家庭的补助</w:t>
      </w:r>
      <w:r>
        <w:rPr>
          <w:rFonts w:hint="eastAsia" w:ascii="仿宋_GB2312" w:hAnsi="仿宋_GB2312" w:eastAsia="仿宋_GB2312" w:cs="仿宋_GB2312"/>
          <w:sz w:val="32"/>
          <w:szCs w:val="32"/>
        </w:rPr>
        <w:t>2.16</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0.09</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其他资本性支出</w:t>
      </w:r>
      <w:r>
        <w:rPr>
          <w:rFonts w:hint="eastAsia" w:ascii="仿宋_GB2312" w:hAnsi="宋体" w:eastAsia="仿宋_GB2312" w:cs="仿宋_GB2312"/>
          <w:sz w:val="32"/>
          <w:szCs w:val="32"/>
          <w:lang w:val="en-US" w:eastAsia="zh-CN"/>
        </w:rPr>
        <w:t>47.18</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2.00</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p>
    <w:p>
      <w:pPr>
        <w:pageBreakBefore w:val="0"/>
        <w:widowControl/>
        <w:kinsoku/>
        <w:wordWrap/>
        <w:overflowPunct/>
        <w:topLinePunct w:val="0"/>
        <w:autoSpaceDE/>
        <w:autoSpaceDN/>
        <w:bidi w:val="0"/>
        <w:adjustRightInd/>
        <w:snapToGrid/>
        <w:spacing w:line="680" w:lineRule="exact"/>
        <w:ind w:firstLine="640"/>
        <w:jc w:val="left"/>
        <w:textAlignment w:val="auto"/>
        <w:rPr>
          <w:rFonts w:hint="eastAsia" w:ascii="仿宋_GB2312" w:eastAsia="仿宋_GB2312"/>
          <w:b/>
          <w:color w:val="000000"/>
          <w:sz w:val="32"/>
          <w:szCs w:val="30"/>
        </w:rPr>
      </w:pPr>
      <w:r>
        <w:rPr>
          <w:rFonts w:hint="eastAsia" w:ascii="仿宋_GB2312" w:hAnsi="宋体" w:eastAsia="仿宋_GB2312" w:cs="仿宋_GB2312"/>
          <w:b/>
          <w:bCs/>
          <w:sz w:val="32"/>
          <w:szCs w:val="32"/>
        </w:rPr>
        <w:t>（三）</w:t>
      </w:r>
      <w:r>
        <w:rPr>
          <w:rFonts w:hint="eastAsia" w:ascii="仿宋_GB2312" w:eastAsia="仿宋_GB2312"/>
          <w:b/>
          <w:color w:val="000000"/>
          <w:sz w:val="32"/>
          <w:szCs w:val="30"/>
        </w:rPr>
        <w:t>财政拨款支出情况</w:t>
      </w:r>
    </w:p>
    <w:p>
      <w:pPr>
        <w:pageBreakBefore w:val="0"/>
        <w:kinsoku/>
        <w:wordWrap/>
        <w:overflowPunct/>
        <w:topLinePunct w:val="0"/>
        <w:autoSpaceDE/>
        <w:autoSpaceDN/>
        <w:bidi w:val="0"/>
        <w:adjustRightInd/>
        <w:snapToGrid/>
        <w:spacing w:line="680" w:lineRule="exact"/>
        <w:ind w:firstLine="640" w:firstLineChars="200"/>
        <w:textAlignment w:val="auto"/>
        <w:rPr>
          <w:rFonts w:ascii="仿宋_GB2312" w:eastAsia="仿宋_GB2312" w:cs="Times New Roman"/>
          <w:sz w:val="32"/>
          <w:szCs w:val="32"/>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市委办公室财政拨款</w:t>
      </w:r>
      <w:r>
        <w:rPr>
          <w:rFonts w:hint="eastAsia" w:ascii="仿宋_GB2312" w:hAnsi="宋体" w:eastAsia="仿宋_GB2312" w:cs="仿宋_GB2312"/>
          <w:sz w:val="32"/>
          <w:szCs w:val="32"/>
        </w:rPr>
        <w:t>支出预算</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796.97</w:t>
      </w: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万元，占支出预算总额的</w:t>
      </w:r>
      <w:r>
        <w:rPr>
          <w:rFonts w:hint="eastAsia" w:ascii="仿宋_GB2312" w:hAnsi="仿宋_GB2312" w:eastAsia="仿宋_GB2312" w:cs="仿宋_GB2312"/>
          <w:sz w:val="32"/>
          <w:szCs w:val="32"/>
        </w:rPr>
        <w:t>76.20</w:t>
      </w:r>
      <w:r>
        <w:rPr>
          <w:rFonts w:ascii="仿宋_GB2312" w:hAnsi="宋体" w:eastAsia="仿宋_GB2312" w:cs="仿宋_GB2312"/>
          <w:sz w:val="32"/>
          <w:szCs w:val="32"/>
        </w:rPr>
        <w:t>%</w:t>
      </w:r>
      <w:r>
        <w:rPr>
          <w:rFonts w:hint="eastAsia" w:ascii="仿宋_GB2312" w:hAnsi="宋体" w:eastAsia="仿宋_GB2312" w:cs="仿宋_GB2312"/>
          <w:sz w:val="32"/>
          <w:szCs w:val="32"/>
        </w:rPr>
        <w:t>，与上年预算相比增</w:t>
      </w:r>
      <w:r>
        <w:rPr>
          <w:rFonts w:hint="eastAsia" w:ascii="仿宋_GB2312" w:hAnsi="宋体" w:eastAsia="仿宋_GB2312" w:cs="仿宋_GB2312"/>
          <w:sz w:val="32"/>
          <w:szCs w:val="32"/>
          <w:lang w:eastAsia="zh-CN"/>
        </w:rPr>
        <w:t>加</w:t>
      </w:r>
      <w:r>
        <w:rPr>
          <w:rFonts w:hint="eastAsia" w:ascii="仿宋_GB2312" w:hAnsi="宋体" w:eastAsia="仿宋_GB2312" w:cs="仿宋_GB2312"/>
          <w:sz w:val="32"/>
          <w:szCs w:val="32"/>
          <w:lang w:val="en-US" w:eastAsia="zh-CN"/>
        </w:rPr>
        <w:t>322.21万元。</w:t>
      </w:r>
      <w:r>
        <w:rPr>
          <w:rFonts w:hint="eastAsia" w:ascii="仿宋_GB2312" w:hAnsi="宋体" w:eastAsia="仿宋_GB2312" w:cs="仿宋_GB2312"/>
          <w:sz w:val="32"/>
          <w:szCs w:val="32"/>
        </w:rPr>
        <w:t>具体支出情况是：一般公共服务支出</w:t>
      </w:r>
      <w:r>
        <w:rPr>
          <w:rFonts w:hint="eastAsia" w:ascii="仿宋_GB2312" w:hAnsi="宋体" w:eastAsia="仿宋_GB2312" w:cs="仿宋_GB2312"/>
          <w:sz w:val="32"/>
          <w:szCs w:val="32"/>
          <w:lang w:val="en-US" w:eastAsia="zh-CN"/>
        </w:rPr>
        <w:t>1,566.86</w:t>
      </w:r>
      <w:r>
        <w:rPr>
          <w:rFonts w:hint="eastAsia" w:ascii="仿宋_GB2312" w:hAnsi="宋体" w:eastAsia="仿宋_GB2312" w:cs="仿宋_GB2312"/>
          <w:sz w:val="32"/>
          <w:szCs w:val="32"/>
        </w:rPr>
        <w:t>万元，占经费拨款支出的8</w:t>
      </w:r>
      <w:r>
        <w:rPr>
          <w:rFonts w:hint="eastAsia" w:ascii="仿宋_GB2312" w:hAnsi="宋体" w:eastAsia="仿宋_GB2312" w:cs="仿宋_GB2312"/>
          <w:sz w:val="32"/>
          <w:szCs w:val="32"/>
          <w:lang w:val="en-US" w:eastAsia="zh-CN"/>
        </w:rPr>
        <w:t>7.19</w:t>
      </w:r>
      <w:r>
        <w:rPr>
          <w:rFonts w:ascii="仿宋_GB2312" w:hAnsi="宋体" w:eastAsia="仿宋_GB2312" w:cs="仿宋_GB2312"/>
          <w:sz w:val="32"/>
          <w:szCs w:val="32"/>
        </w:rPr>
        <w:t>%</w:t>
      </w:r>
      <w:r>
        <w:rPr>
          <w:rFonts w:hint="eastAsia" w:ascii="仿宋_GB2312" w:hAnsi="宋体" w:eastAsia="仿宋_GB2312" w:cs="仿宋_GB2312"/>
          <w:sz w:val="32"/>
          <w:szCs w:val="32"/>
        </w:rPr>
        <w:t>；社会保障和就业支出</w:t>
      </w:r>
      <w:r>
        <w:rPr>
          <w:rFonts w:hint="eastAsia" w:ascii="仿宋_GB2312" w:hAnsi="宋体" w:eastAsia="仿宋_GB2312" w:cs="仿宋_GB2312"/>
          <w:sz w:val="32"/>
          <w:szCs w:val="32"/>
          <w:lang w:val="en-US" w:eastAsia="zh-CN"/>
        </w:rPr>
        <w:t>88.58</w:t>
      </w:r>
      <w:r>
        <w:rPr>
          <w:rFonts w:hint="eastAsia" w:ascii="仿宋_GB2312" w:hAnsi="宋体" w:eastAsia="仿宋_GB2312" w:cs="仿宋_GB2312"/>
          <w:sz w:val="32"/>
          <w:szCs w:val="32"/>
        </w:rPr>
        <w:t>万元，占经费拨款支出的</w:t>
      </w:r>
      <w:r>
        <w:rPr>
          <w:rFonts w:hint="eastAsia" w:ascii="仿宋_GB2312" w:hAnsi="宋体" w:eastAsia="仿宋_GB2312" w:cs="仿宋_GB2312"/>
          <w:sz w:val="32"/>
          <w:szCs w:val="32"/>
          <w:lang w:val="en-US" w:eastAsia="zh-CN"/>
        </w:rPr>
        <w:t>4.93</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卫生健康支出</w:t>
      </w:r>
      <w:r>
        <w:rPr>
          <w:rFonts w:hint="eastAsia" w:ascii="仿宋_GB2312" w:hAnsi="宋体" w:eastAsia="仿宋_GB2312" w:cs="仿宋_GB2312"/>
          <w:sz w:val="32"/>
          <w:szCs w:val="32"/>
          <w:lang w:val="en-US" w:eastAsia="zh-CN"/>
        </w:rPr>
        <w:t>77.39万元，占公共财政拨款支出预算的4.31%；</w:t>
      </w:r>
      <w:r>
        <w:rPr>
          <w:rFonts w:hint="eastAsia" w:ascii="仿宋_GB2312" w:hAnsi="宋体" w:eastAsia="仿宋_GB2312" w:cs="仿宋_GB2312"/>
          <w:sz w:val="32"/>
          <w:szCs w:val="32"/>
        </w:rPr>
        <w:t>住房保障支出</w:t>
      </w:r>
      <w:r>
        <w:rPr>
          <w:rFonts w:hint="eastAsia" w:ascii="仿宋_GB2312" w:hAnsi="宋体" w:eastAsia="仿宋_GB2312" w:cs="仿宋_GB2312"/>
          <w:sz w:val="32"/>
          <w:szCs w:val="32"/>
          <w:lang w:val="en-US" w:eastAsia="zh-CN"/>
        </w:rPr>
        <w:t>64.14</w:t>
      </w:r>
      <w:r>
        <w:rPr>
          <w:rFonts w:hint="eastAsia" w:ascii="仿宋_GB2312" w:hAnsi="宋体" w:eastAsia="仿宋_GB2312" w:cs="仿宋_GB2312"/>
          <w:sz w:val="32"/>
          <w:szCs w:val="32"/>
        </w:rPr>
        <w:t>万元，占经费拨款支出的3.</w:t>
      </w:r>
      <w:r>
        <w:rPr>
          <w:rFonts w:hint="eastAsia" w:ascii="仿宋_GB2312" w:hAnsi="宋体" w:eastAsia="仿宋_GB2312" w:cs="仿宋_GB2312"/>
          <w:sz w:val="32"/>
          <w:szCs w:val="32"/>
          <w:lang w:val="en-US" w:eastAsia="zh-CN"/>
        </w:rPr>
        <w:t>57</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pageBreakBefore w:val="0"/>
        <w:numPr>
          <w:ilvl w:val="0"/>
          <w:numId w:val="1"/>
        </w:numPr>
        <w:kinsoku/>
        <w:wordWrap/>
        <w:overflowPunct/>
        <w:topLinePunct w:val="0"/>
        <w:autoSpaceDE/>
        <w:autoSpaceDN/>
        <w:bidi w:val="0"/>
        <w:adjustRightInd/>
        <w:snapToGrid/>
        <w:spacing w:line="680" w:lineRule="exact"/>
        <w:ind w:left="540"/>
        <w:textAlignment w:val="auto"/>
        <w:rPr>
          <w:rFonts w:ascii="仿宋_GB2312" w:eastAsia="仿宋_GB2312" w:cs="Times New Roman"/>
          <w:b/>
          <w:bCs/>
          <w:sz w:val="32"/>
          <w:szCs w:val="32"/>
        </w:rPr>
      </w:pPr>
      <w:r>
        <w:rPr>
          <w:rFonts w:hint="eastAsia" w:ascii="仿宋_GB2312" w:hAnsi="宋体" w:eastAsia="仿宋_GB2312" w:cs="仿宋_GB2312"/>
          <w:b/>
          <w:bCs/>
          <w:sz w:val="32"/>
          <w:szCs w:val="32"/>
        </w:rPr>
        <w:t>政府采购预算情况</w:t>
      </w:r>
    </w:p>
    <w:p>
      <w:pPr>
        <w:pageBreakBefore w:val="0"/>
        <w:kinsoku/>
        <w:wordWrap/>
        <w:overflowPunct/>
        <w:topLinePunct w:val="0"/>
        <w:autoSpaceDE/>
        <w:autoSpaceDN/>
        <w:bidi w:val="0"/>
        <w:adjustRightInd/>
        <w:snapToGrid/>
        <w:spacing w:line="680" w:lineRule="exact"/>
        <w:ind w:firstLine="640" w:firstLineChars="200"/>
        <w:textAlignment w:val="auto"/>
        <w:rPr>
          <w:rFonts w:hint="default" w:ascii="仿宋_GB2312" w:eastAsia="仿宋_GB2312" w:cs="Times New Roman"/>
          <w:sz w:val="32"/>
          <w:szCs w:val="32"/>
          <w:lang w:val="en-US"/>
        </w:rPr>
      </w:pPr>
      <w:r>
        <w:rPr>
          <w:rFonts w:hint="eastAsia" w:ascii="仿宋_GB2312" w:hAnsi="仿宋_GB2312" w:eastAsia="仿宋_GB2312" w:cs="仿宋_GB2312"/>
          <w:sz w:val="32"/>
          <w:szCs w:val="32"/>
          <w:lang w:val="en-US" w:eastAsia="zh-CN"/>
        </w:rPr>
        <w:t>2020年政府采购预算为57.50万元，其中：部门分散采购57.50万元。</w:t>
      </w:r>
      <w:r>
        <w:rPr>
          <w:rFonts w:hint="eastAsia" w:ascii="仿宋_GB2312" w:hAnsi="宋体" w:eastAsia="仿宋_GB2312" w:cs="仿宋_GB2312"/>
          <w:sz w:val="32"/>
          <w:szCs w:val="32"/>
        </w:rPr>
        <w:t>与上年预算</w:t>
      </w:r>
      <w:r>
        <w:rPr>
          <w:rFonts w:hint="eastAsia" w:ascii="仿宋_GB2312" w:hAnsi="宋体" w:eastAsia="仿宋_GB2312" w:cs="仿宋_GB2312"/>
          <w:sz w:val="32"/>
          <w:szCs w:val="32"/>
          <w:lang w:eastAsia="zh-CN"/>
        </w:rPr>
        <w:t>相</w:t>
      </w:r>
      <w:r>
        <w:rPr>
          <w:rFonts w:hint="eastAsia" w:ascii="仿宋_GB2312" w:hAnsi="宋体" w:eastAsia="仿宋_GB2312" w:cs="仿宋_GB2312"/>
          <w:sz w:val="32"/>
          <w:szCs w:val="32"/>
        </w:rPr>
        <w:t>比增</w:t>
      </w:r>
      <w:r>
        <w:rPr>
          <w:rFonts w:hint="eastAsia" w:ascii="仿宋_GB2312" w:hAnsi="宋体" w:eastAsia="仿宋_GB2312" w:cs="仿宋_GB2312"/>
          <w:sz w:val="32"/>
          <w:szCs w:val="32"/>
          <w:lang w:eastAsia="zh-CN"/>
        </w:rPr>
        <w:t>加</w:t>
      </w:r>
      <w:r>
        <w:rPr>
          <w:rFonts w:hint="eastAsia" w:ascii="仿宋_GB2312" w:hAnsi="宋体" w:eastAsia="仿宋_GB2312" w:cs="仿宋_GB2312"/>
          <w:sz w:val="32"/>
          <w:szCs w:val="32"/>
          <w:lang w:val="en-US" w:eastAsia="zh-CN"/>
        </w:rPr>
        <w:t>11.4万元。</w:t>
      </w:r>
      <w:r>
        <w:rPr>
          <w:rFonts w:hint="eastAsia" w:ascii="仿宋_GB2312" w:hAnsi="宋体" w:eastAsia="仿宋_GB2312" w:cs="仿宋_GB2312"/>
          <w:sz w:val="32"/>
          <w:szCs w:val="32"/>
        </w:rPr>
        <w:t>主要原因是今年增加了</w:t>
      </w:r>
      <w:r>
        <w:rPr>
          <w:rFonts w:hint="eastAsia" w:ascii="仿宋_GB2312" w:hAnsi="宋体" w:eastAsia="仿宋_GB2312" w:cs="仿宋_GB2312"/>
          <w:sz w:val="32"/>
          <w:szCs w:val="32"/>
          <w:lang w:eastAsia="zh-CN"/>
        </w:rPr>
        <w:t>办公设备等</w:t>
      </w:r>
      <w:r>
        <w:rPr>
          <w:rFonts w:hint="eastAsia" w:ascii="仿宋_GB2312" w:hAnsi="宋体" w:eastAsia="仿宋_GB2312" w:cs="仿宋_GB2312"/>
          <w:sz w:val="32"/>
          <w:szCs w:val="32"/>
        </w:rPr>
        <w:t>采购预算。</w:t>
      </w:r>
    </w:p>
    <w:p>
      <w:pPr>
        <w:pageBreakBefore w:val="0"/>
        <w:tabs>
          <w:tab w:val="left" w:pos="1162"/>
        </w:tabs>
        <w:kinsoku/>
        <w:wordWrap/>
        <w:overflowPunct/>
        <w:topLinePunct w:val="0"/>
        <w:autoSpaceDE/>
        <w:autoSpaceDN/>
        <w:bidi w:val="0"/>
        <w:adjustRightInd/>
        <w:snapToGrid/>
        <w:spacing w:line="680" w:lineRule="exact"/>
        <w:ind w:left="420" w:leftChars="200" w:firstLine="321" w:firstLineChars="100"/>
        <w:textAlignment w:val="auto"/>
        <w:rPr>
          <w:rFonts w:ascii="仿宋_GB2312" w:eastAsia="仿宋_GB2312" w:cs="Times New Roman"/>
          <w:b/>
          <w:bCs/>
          <w:sz w:val="32"/>
          <w:szCs w:val="32"/>
        </w:rPr>
      </w:pPr>
      <w:r>
        <w:rPr>
          <w:rFonts w:hint="eastAsia" w:ascii="仿宋_GB2312" w:hAnsi="宋体" w:eastAsia="仿宋_GB2312" w:cs="仿宋_GB2312"/>
          <w:b/>
          <w:bCs/>
          <w:sz w:val="32"/>
          <w:szCs w:val="32"/>
        </w:rPr>
        <w:t>（五）政府基金收支情况</w:t>
      </w:r>
    </w:p>
    <w:p>
      <w:pPr>
        <w:pageBreakBefore w:val="0"/>
        <w:kinsoku/>
        <w:wordWrap/>
        <w:overflowPunct/>
        <w:topLinePunct w:val="0"/>
        <w:autoSpaceDE/>
        <w:autoSpaceDN/>
        <w:bidi w:val="0"/>
        <w:adjustRightInd/>
        <w:snapToGrid/>
        <w:spacing w:line="680" w:lineRule="exact"/>
        <w:ind w:firstLine="640" w:firstLineChars="200"/>
        <w:textAlignment w:val="auto"/>
        <w:rPr>
          <w:rFonts w:ascii="仿宋_GB2312" w:eastAsia="仿宋_GB2312" w:cs="Times New Roman"/>
          <w:sz w:val="32"/>
          <w:szCs w:val="32"/>
        </w:rPr>
      </w:pPr>
      <w:r>
        <w:rPr>
          <w:rFonts w:hint="eastAsia" w:ascii="仿宋_GB2312" w:hAnsi="宋体" w:eastAsia="仿宋_GB2312" w:cs="仿宋_GB2312"/>
          <w:sz w:val="32"/>
          <w:szCs w:val="32"/>
        </w:rPr>
        <w:t>20</w:t>
      </w:r>
      <w:r>
        <w:rPr>
          <w:rFonts w:hint="eastAsia" w:ascii="仿宋_GB2312" w:hAnsi="宋体" w:eastAsia="仿宋_GB2312" w:cs="仿宋_GB2312"/>
          <w:sz w:val="32"/>
          <w:szCs w:val="32"/>
          <w:lang w:val="en-US" w:eastAsia="zh-CN"/>
        </w:rPr>
        <w:t>20</w:t>
      </w:r>
      <w:r>
        <w:rPr>
          <w:rFonts w:hint="eastAsia" w:ascii="仿宋_GB2312" w:hAnsi="华文细黑" w:eastAsia="仿宋_GB2312" w:cs="宋体"/>
          <w:kern w:val="0"/>
          <w:sz w:val="32"/>
          <w:szCs w:val="32"/>
        </w:rPr>
        <w:t>年</w:t>
      </w:r>
      <w:r>
        <w:rPr>
          <w:rFonts w:hint="eastAsia" w:ascii="仿宋_GB2312" w:hAnsi="宋体" w:eastAsia="仿宋_GB2312" w:cs="仿宋_GB2312"/>
          <w:color w:val="auto"/>
          <w:sz w:val="32"/>
          <w:szCs w:val="32"/>
        </w:rPr>
        <w:t>无政府基金收支预算</w:t>
      </w:r>
      <w:r>
        <w:rPr>
          <w:rFonts w:hint="eastAsia" w:ascii="仿宋_GB2312" w:hAnsi="华文细黑" w:eastAsia="仿宋_GB2312" w:cs="宋体"/>
          <w:kern w:val="0"/>
          <w:sz w:val="32"/>
          <w:szCs w:val="32"/>
        </w:rPr>
        <w:t>。</w:t>
      </w:r>
    </w:p>
    <w:p>
      <w:pPr>
        <w:pageBreakBefore w:val="0"/>
        <w:tabs>
          <w:tab w:val="left" w:pos="1113"/>
        </w:tabs>
        <w:kinsoku/>
        <w:wordWrap/>
        <w:overflowPunct/>
        <w:topLinePunct w:val="0"/>
        <w:autoSpaceDE/>
        <w:autoSpaceDN/>
        <w:bidi w:val="0"/>
        <w:adjustRightInd/>
        <w:snapToGrid/>
        <w:spacing w:line="680" w:lineRule="exact"/>
        <w:ind w:firstLine="643" w:firstLineChars="200"/>
        <w:textAlignment w:val="auto"/>
        <w:rPr>
          <w:rFonts w:ascii="仿宋_GB2312" w:eastAsia="仿宋_GB2312" w:cs="Times New Roman"/>
          <w:b/>
          <w:bCs/>
          <w:sz w:val="32"/>
          <w:szCs w:val="32"/>
        </w:rPr>
      </w:pPr>
      <w:r>
        <w:rPr>
          <w:rFonts w:hint="eastAsia" w:ascii="仿宋_GB2312" w:hAnsi="宋体" w:eastAsia="仿宋_GB2312" w:cs="仿宋_GB2312"/>
          <w:b/>
          <w:bCs/>
          <w:sz w:val="32"/>
          <w:szCs w:val="32"/>
          <w:lang w:eastAsia="zh-CN"/>
        </w:rPr>
        <w:t>（六）</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年“三公”经费预算情况说明</w:t>
      </w:r>
    </w:p>
    <w:p>
      <w:pPr>
        <w:pageBreakBefore w:val="0"/>
        <w:kinsoku/>
        <w:wordWrap/>
        <w:overflowPunct/>
        <w:topLinePunct w:val="0"/>
        <w:autoSpaceDE/>
        <w:autoSpaceDN/>
        <w:bidi w:val="0"/>
        <w:adjustRightInd/>
        <w:snapToGrid/>
        <w:spacing w:line="680" w:lineRule="exact"/>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年市</w:t>
      </w:r>
      <w:r>
        <w:rPr>
          <w:rFonts w:hint="eastAsia" w:ascii="仿宋_GB2312" w:hAnsi="宋体" w:eastAsia="仿宋_GB2312" w:cs="仿宋_GB2312"/>
          <w:sz w:val="32"/>
          <w:szCs w:val="32"/>
          <w:lang w:eastAsia="zh-CN"/>
        </w:rPr>
        <w:t>委办公室</w:t>
      </w:r>
      <w:r>
        <w:rPr>
          <w:rFonts w:hint="eastAsia" w:ascii="仿宋_GB2312" w:hAnsi="宋体" w:eastAsia="仿宋_GB2312" w:cs="仿宋_GB2312"/>
          <w:sz w:val="32"/>
          <w:szCs w:val="32"/>
        </w:rPr>
        <w:t>“三公”经费年初预算安排</w:t>
      </w:r>
      <w:r>
        <w:rPr>
          <w:rFonts w:hint="eastAsia" w:ascii="仿宋_GB2312" w:hAnsi="宋体" w:eastAsia="仿宋_GB2312" w:cs="仿宋_GB2312"/>
          <w:sz w:val="32"/>
          <w:szCs w:val="32"/>
          <w:lang w:val="en-US" w:eastAsia="zh-CN"/>
        </w:rPr>
        <w:t>103.16</w:t>
      </w:r>
      <w:r>
        <w:rPr>
          <w:rFonts w:hint="eastAsia" w:ascii="仿宋_GB2312" w:hAnsi="宋体" w:eastAsia="仿宋_GB2312" w:cs="仿宋_GB2312"/>
          <w:sz w:val="32"/>
          <w:szCs w:val="32"/>
        </w:rPr>
        <w:t>万元。其中：</w:t>
      </w:r>
    </w:p>
    <w:p>
      <w:pPr>
        <w:pageBreakBefore w:val="0"/>
        <w:kinsoku/>
        <w:wordWrap/>
        <w:overflowPunct/>
        <w:topLinePunct w:val="0"/>
        <w:autoSpaceDE/>
        <w:autoSpaceDN/>
        <w:bidi w:val="0"/>
        <w:adjustRightInd/>
        <w:snapToGrid/>
        <w:spacing w:line="680" w:lineRule="exact"/>
        <w:ind w:firstLine="640" w:firstLineChars="200"/>
        <w:textAlignment w:val="auto"/>
        <w:rPr>
          <w:rFonts w:ascii="仿宋_GB2312" w:eastAsia="仿宋_GB2312" w:cs="Times New Roman"/>
          <w:sz w:val="32"/>
          <w:szCs w:val="32"/>
        </w:rPr>
      </w:pPr>
      <w:r>
        <w:rPr>
          <w:rFonts w:hint="eastAsia" w:ascii="仿宋_GB2312" w:hAnsi="宋体" w:eastAsia="仿宋_GB2312" w:cs="仿宋_GB2312"/>
          <w:sz w:val="32"/>
          <w:szCs w:val="32"/>
        </w:rPr>
        <w:t>因公出国（境）费</w:t>
      </w:r>
      <w:r>
        <w:rPr>
          <w:rFonts w:hint="eastAsia" w:ascii="仿宋_GB2312" w:hAnsi="宋体" w:eastAsia="仿宋_GB2312" w:cs="仿宋_GB2312"/>
          <w:sz w:val="32"/>
          <w:szCs w:val="32"/>
          <w:lang w:val="en-US" w:eastAsia="zh-CN"/>
        </w:rPr>
        <w:t>20</w:t>
      </w:r>
      <w:r>
        <w:rPr>
          <w:rFonts w:hint="eastAsia" w:ascii="仿宋_GB2312" w:hAnsi="宋体" w:eastAsia="仿宋_GB2312" w:cs="仿宋_GB2312"/>
          <w:sz w:val="32"/>
          <w:szCs w:val="32"/>
        </w:rPr>
        <w:t>万元，比上年增</w:t>
      </w:r>
      <w:r>
        <w:rPr>
          <w:rFonts w:hint="eastAsia" w:ascii="仿宋_GB2312" w:hAnsi="宋体" w:eastAsia="仿宋_GB2312" w:cs="仿宋_GB2312"/>
          <w:sz w:val="32"/>
          <w:szCs w:val="32"/>
          <w:lang w:eastAsia="zh-CN"/>
        </w:rPr>
        <w:t>加</w:t>
      </w:r>
      <w:r>
        <w:rPr>
          <w:rFonts w:hint="eastAsia" w:ascii="仿宋_GB2312" w:hAnsi="宋体" w:eastAsia="仿宋_GB2312" w:cs="仿宋_GB2312"/>
          <w:sz w:val="32"/>
          <w:szCs w:val="32"/>
          <w:lang w:val="en-US" w:eastAsia="zh-CN"/>
        </w:rPr>
        <w:t>20</w:t>
      </w:r>
      <w:r>
        <w:rPr>
          <w:rFonts w:hint="eastAsia" w:ascii="仿宋_GB2312" w:hAnsi="宋体" w:eastAsia="仿宋_GB2312" w:cs="仿宋_GB2312"/>
          <w:sz w:val="32"/>
          <w:szCs w:val="32"/>
        </w:rPr>
        <w:t>万元，主要原因</w:t>
      </w:r>
      <w:r>
        <w:rPr>
          <w:rFonts w:hint="eastAsia" w:ascii="仿宋_GB2312" w:hAnsi="宋体" w:eastAsia="仿宋_GB2312" w:cs="仿宋_GB2312"/>
          <w:sz w:val="32"/>
          <w:szCs w:val="32"/>
          <w:lang w:eastAsia="zh-CN"/>
        </w:rPr>
        <w:t>是</w:t>
      </w:r>
      <w:r>
        <w:rPr>
          <w:rFonts w:hint="eastAsia" w:ascii="仿宋_GB2312" w:hAnsi="仿宋_GB2312" w:eastAsia="仿宋_GB2312" w:cs="仿宋_GB2312"/>
          <w:sz w:val="32"/>
          <w:szCs w:val="32"/>
          <w:lang w:val="en-US" w:eastAsia="zh-CN"/>
        </w:rPr>
        <w:t>原市委台办并入市委办公室，其因公出</w:t>
      </w:r>
      <w:r>
        <w:rPr>
          <w:rFonts w:hint="eastAsia" w:ascii="仿宋_GB2312" w:hAnsi="宋体" w:eastAsia="仿宋_GB2312" w:cs="仿宋_GB2312"/>
          <w:sz w:val="32"/>
          <w:szCs w:val="32"/>
        </w:rPr>
        <w:t>国（境）</w:t>
      </w:r>
      <w:r>
        <w:rPr>
          <w:rFonts w:hint="eastAsia" w:ascii="仿宋_GB2312" w:hAnsi="仿宋_GB2312" w:eastAsia="仿宋_GB2312" w:cs="仿宋_GB2312"/>
          <w:sz w:val="32"/>
          <w:szCs w:val="32"/>
          <w:lang w:val="en-US" w:eastAsia="zh-CN"/>
        </w:rPr>
        <w:t>等职能一并转入，</w:t>
      </w:r>
      <w:r>
        <w:rPr>
          <w:rFonts w:hint="eastAsia" w:ascii="仿宋_GB2312" w:eastAsia="仿宋_GB2312" w:cs="仿宋_GB2312"/>
          <w:sz w:val="32"/>
          <w:szCs w:val="32"/>
          <w:lang w:eastAsia="zh-CN"/>
        </w:rPr>
        <w:t>故调增因公</w:t>
      </w:r>
      <w:r>
        <w:rPr>
          <w:rFonts w:hint="eastAsia" w:ascii="仿宋_GB2312" w:hAnsi="宋体" w:eastAsia="仿宋_GB2312" w:cs="仿宋_GB2312"/>
          <w:sz w:val="32"/>
          <w:szCs w:val="32"/>
        </w:rPr>
        <w:t>出国（境）</w:t>
      </w:r>
      <w:r>
        <w:rPr>
          <w:rFonts w:hint="eastAsia" w:ascii="仿宋_GB2312" w:hAnsi="宋体" w:eastAsia="仿宋_GB2312" w:cs="仿宋_GB2312"/>
          <w:sz w:val="32"/>
          <w:szCs w:val="32"/>
          <w:lang w:eastAsia="zh-CN"/>
        </w:rPr>
        <w:t>预算经</w:t>
      </w:r>
      <w:r>
        <w:rPr>
          <w:rFonts w:hint="eastAsia" w:ascii="仿宋_GB2312" w:hAnsi="宋体" w:eastAsia="仿宋_GB2312" w:cs="仿宋_GB2312"/>
          <w:sz w:val="32"/>
          <w:szCs w:val="32"/>
        </w:rPr>
        <w:t>费。</w:t>
      </w:r>
    </w:p>
    <w:p>
      <w:pPr>
        <w:pageBreakBefore w:val="0"/>
        <w:kinsoku/>
        <w:wordWrap/>
        <w:overflowPunct/>
        <w:topLinePunct w:val="0"/>
        <w:autoSpaceDE/>
        <w:autoSpaceDN/>
        <w:bidi w:val="0"/>
        <w:adjustRightInd/>
        <w:snapToGrid/>
        <w:spacing w:line="680" w:lineRule="exact"/>
        <w:ind w:firstLine="640" w:firstLineChars="200"/>
        <w:textAlignment w:val="auto"/>
        <w:rPr>
          <w:rFonts w:ascii="仿宋_GB2312" w:eastAsia="仿宋_GB2312" w:cs="Times New Roman"/>
          <w:sz w:val="32"/>
          <w:szCs w:val="32"/>
        </w:rPr>
      </w:pPr>
      <w:r>
        <w:rPr>
          <w:rFonts w:hint="eastAsia" w:ascii="仿宋_GB2312" w:hAnsi="宋体" w:eastAsia="仿宋_GB2312" w:cs="仿宋_GB2312"/>
          <w:sz w:val="32"/>
          <w:szCs w:val="32"/>
        </w:rPr>
        <w:t>公务接待费</w:t>
      </w:r>
      <w:r>
        <w:rPr>
          <w:rFonts w:hint="eastAsia" w:ascii="仿宋_GB2312" w:hAnsi="宋体" w:eastAsia="仿宋_GB2312" w:cs="仿宋_GB2312"/>
          <w:sz w:val="32"/>
          <w:szCs w:val="32"/>
          <w:lang w:val="en-US" w:eastAsia="zh-CN"/>
        </w:rPr>
        <w:t>20</w:t>
      </w:r>
      <w:r>
        <w:rPr>
          <w:rFonts w:hint="eastAsia" w:ascii="仿宋_GB2312" w:hAnsi="宋体" w:eastAsia="仿宋_GB2312" w:cs="仿宋_GB2312"/>
          <w:sz w:val="32"/>
          <w:szCs w:val="32"/>
        </w:rPr>
        <w:t>万元，比上年增</w:t>
      </w:r>
      <w:r>
        <w:rPr>
          <w:rFonts w:hint="eastAsia" w:ascii="仿宋_GB2312" w:hAnsi="宋体" w:eastAsia="仿宋_GB2312" w:cs="仿宋_GB2312"/>
          <w:sz w:val="32"/>
          <w:szCs w:val="32"/>
          <w:lang w:eastAsia="zh-CN"/>
        </w:rPr>
        <w:t>加</w:t>
      </w:r>
      <w:r>
        <w:rPr>
          <w:rFonts w:hint="eastAsia" w:ascii="仿宋_GB2312" w:hAnsi="宋体" w:eastAsia="仿宋_GB2312" w:cs="仿宋_GB2312"/>
          <w:sz w:val="32"/>
          <w:szCs w:val="32"/>
          <w:lang w:val="en-US" w:eastAsia="zh-CN"/>
        </w:rPr>
        <w:t>10</w:t>
      </w:r>
      <w:r>
        <w:rPr>
          <w:rFonts w:hint="eastAsia" w:ascii="仿宋_GB2312" w:hAnsi="宋体" w:eastAsia="仿宋_GB2312" w:cs="仿宋_GB2312"/>
          <w:sz w:val="32"/>
          <w:szCs w:val="32"/>
        </w:rPr>
        <w:t>万元，主要原因</w:t>
      </w:r>
      <w:r>
        <w:rPr>
          <w:rFonts w:hint="eastAsia" w:ascii="仿宋_GB2312" w:hAnsi="仿宋_GB2312" w:eastAsia="仿宋_GB2312" w:cs="仿宋_GB2312"/>
          <w:sz w:val="32"/>
          <w:szCs w:val="32"/>
          <w:lang w:val="en-US" w:eastAsia="zh-CN"/>
        </w:rPr>
        <w:t>原市委台办并入市委办公室，其对台接待等职能一并转入，</w:t>
      </w:r>
      <w:r>
        <w:rPr>
          <w:rFonts w:hint="eastAsia" w:ascii="仿宋_GB2312" w:eastAsia="仿宋_GB2312" w:cs="仿宋_GB2312"/>
          <w:sz w:val="32"/>
          <w:szCs w:val="32"/>
          <w:lang w:eastAsia="zh-CN"/>
        </w:rPr>
        <w:t>故调增公务接待</w:t>
      </w:r>
      <w:r>
        <w:rPr>
          <w:rFonts w:hint="eastAsia" w:ascii="仿宋_GB2312" w:hAnsi="宋体" w:eastAsia="仿宋_GB2312" w:cs="仿宋_GB2312"/>
          <w:sz w:val="32"/>
          <w:szCs w:val="32"/>
          <w:lang w:eastAsia="zh-CN"/>
        </w:rPr>
        <w:t>预算经</w:t>
      </w:r>
      <w:r>
        <w:rPr>
          <w:rFonts w:hint="eastAsia" w:ascii="仿宋_GB2312" w:hAnsi="宋体" w:eastAsia="仿宋_GB2312" w:cs="仿宋_GB2312"/>
          <w:sz w:val="32"/>
          <w:szCs w:val="32"/>
        </w:rPr>
        <w:t>费。</w:t>
      </w:r>
    </w:p>
    <w:p>
      <w:pPr>
        <w:pageBreakBefore w:val="0"/>
        <w:kinsoku/>
        <w:wordWrap/>
        <w:overflowPunct/>
        <w:topLinePunct w:val="0"/>
        <w:autoSpaceDE/>
        <w:autoSpaceDN/>
        <w:bidi w:val="0"/>
        <w:adjustRightInd/>
        <w:snapToGrid/>
        <w:spacing w:line="680" w:lineRule="exact"/>
        <w:ind w:firstLine="640" w:firstLineChars="200"/>
        <w:textAlignment w:val="auto"/>
        <w:rPr>
          <w:rFonts w:ascii="仿宋_GB2312" w:eastAsia="仿宋_GB2312" w:cs="Times New Roman"/>
          <w:sz w:val="32"/>
          <w:szCs w:val="32"/>
        </w:rPr>
      </w:pPr>
      <w:r>
        <w:rPr>
          <w:rFonts w:hint="eastAsia" w:ascii="仿宋_GB2312" w:hAnsi="宋体" w:eastAsia="仿宋_GB2312" w:cs="仿宋_GB2312"/>
          <w:sz w:val="32"/>
          <w:szCs w:val="32"/>
        </w:rPr>
        <w:t>公务用车运行维护费</w:t>
      </w:r>
      <w:r>
        <w:rPr>
          <w:rFonts w:hint="eastAsia" w:ascii="仿宋_GB2312" w:hAnsi="宋体" w:eastAsia="仿宋_GB2312" w:cs="仿宋_GB2312"/>
          <w:sz w:val="32"/>
          <w:szCs w:val="32"/>
          <w:lang w:val="en-US" w:eastAsia="zh-CN"/>
        </w:rPr>
        <w:t>63.16</w:t>
      </w:r>
      <w:r>
        <w:rPr>
          <w:rFonts w:hint="eastAsia" w:ascii="仿宋_GB2312" w:hAnsi="宋体" w:eastAsia="仿宋_GB2312" w:cs="仿宋_GB2312"/>
          <w:sz w:val="32"/>
          <w:szCs w:val="32"/>
        </w:rPr>
        <w:t>万元，比上年减</w:t>
      </w:r>
      <w:r>
        <w:rPr>
          <w:rFonts w:hint="eastAsia" w:ascii="仿宋_GB2312" w:hAnsi="宋体" w:eastAsia="仿宋_GB2312" w:cs="仿宋_GB2312"/>
          <w:sz w:val="32"/>
          <w:szCs w:val="32"/>
          <w:lang w:eastAsia="zh-CN"/>
        </w:rPr>
        <w:t>少</w:t>
      </w:r>
      <w:r>
        <w:rPr>
          <w:rFonts w:hint="eastAsia" w:ascii="仿宋_GB2312" w:hAnsi="宋体" w:eastAsia="仿宋_GB2312" w:cs="仿宋_GB2312"/>
          <w:sz w:val="32"/>
          <w:szCs w:val="32"/>
          <w:lang w:val="en-US" w:eastAsia="zh-CN"/>
        </w:rPr>
        <w:t>4.79</w:t>
      </w:r>
      <w:r>
        <w:rPr>
          <w:rFonts w:hint="eastAsia" w:ascii="仿宋_GB2312" w:hAnsi="宋体" w:eastAsia="仿宋_GB2312" w:cs="仿宋_GB2312"/>
          <w:sz w:val="32"/>
          <w:szCs w:val="32"/>
        </w:rPr>
        <w:t>万元。</w:t>
      </w:r>
    </w:p>
    <w:p>
      <w:pPr>
        <w:pageBreakBefore w:val="0"/>
        <w:kinsoku/>
        <w:wordWrap/>
        <w:overflowPunct/>
        <w:topLinePunct w:val="0"/>
        <w:autoSpaceDE/>
        <w:autoSpaceDN/>
        <w:bidi w:val="0"/>
        <w:adjustRightInd/>
        <w:snapToGrid/>
        <w:spacing w:line="68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rPr>
        <w:t>公务用车购置费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万元，比上年增（减）</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pageBreakBefore w:val="0"/>
        <w:kinsoku/>
        <w:wordWrap/>
        <w:overflowPunct/>
        <w:topLinePunct w:val="0"/>
        <w:autoSpaceDE/>
        <w:autoSpaceDN/>
        <w:bidi w:val="0"/>
        <w:adjustRightInd/>
        <w:snapToGrid/>
        <w:spacing w:line="680" w:lineRule="exact"/>
        <w:jc w:val="center"/>
        <w:textAlignment w:val="auto"/>
        <w:rPr>
          <w:rFonts w:ascii="黑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ascii="黑体" w:hAnsi="宋体" w:eastAsia="黑体" w:cs="黑体"/>
          <w:sz w:val="32"/>
          <w:szCs w:val="32"/>
        </w:rPr>
        <w:t xml:space="preserve"> xx</w:t>
      </w:r>
      <w:r>
        <w:rPr>
          <w:rFonts w:hint="eastAsia" w:ascii="黑体" w:hAnsi="宋体" w:eastAsia="黑体" w:cs="黑体"/>
          <w:sz w:val="32"/>
          <w:szCs w:val="32"/>
        </w:rPr>
        <w:t>局</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年部门预算表</w:t>
      </w:r>
    </w:p>
    <w:p>
      <w:pPr>
        <w:pageBreakBefore w:val="0"/>
        <w:kinsoku/>
        <w:wordWrap/>
        <w:overflowPunct/>
        <w:topLinePunct w:val="0"/>
        <w:autoSpaceDE/>
        <w:autoSpaceDN/>
        <w:bidi w:val="0"/>
        <w:adjustRightInd/>
        <w:snapToGrid/>
        <w:spacing w:line="680" w:lineRule="exact"/>
        <w:ind w:firstLine="640" w:firstLineChars="200"/>
        <w:jc w:val="center"/>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（详见附表）</w:t>
      </w:r>
    </w:p>
    <w:p>
      <w:pPr>
        <w:pageBreakBefore w:val="0"/>
        <w:kinsoku/>
        <w:wordWrap/>
        <w:overflowPunct/>
        <w:topLinePunct w:val="0"/>
        <w:autoSpaceDE/>
        <w:autoSpaceDN/>
        <w:bidi w:val="0"/>
        <w:adjustRightInd/>
        <w:snapToGrid/>
        <w:spacing w:line="680" w:lineRule="exact"/>
        <w:textAlignment w:val="auto"/>
        <w:rPr>
          <w:rFonts w:hint="eastAsia" w:ascii="仿宋_GB2312" w:hAnsi="宋体" w:eastAsia="仿宋_GB2312" w:cs="仿宋_GB2312"/>
          <w:sz w:val="32"/>
          <w:szCs w:val="32"/>
          <w:shd w:val="clear" w:color="FFFFFF" w:fill="D9D9D9"/>
        </w:rPr>
      </w:pPr>
    </w:p>
    <w:p>
      <w:pPr>
        <w:pageBreakBefore w:val="0"/>
        <w:kinsoku/>
        <w:wordWrap/>
        <w:overflowPunct/>
        <w:topLinePunct w:val="0"/>
        <w:autoSpaceDE/>
        <w:autoSpaceDN/>
        <w:bidi w:val="0"/>
        <w:adjustRightInd/>
        <w:snapToGrid/>
        <w:spacing w:line="680" w:lineRule="exact"/>
        <w:jc w:val="center"/>
        <w:textAlignment w:val="auto"/>
        <w:rPr>
          <w:rFonts w:ascii="仿宋_GB2312" w:eastAsia="仿宋_GB2312" w:cs="Times New Roman"/>
          <w:b/>
          <w:bCs/>
          <w:sz w:val="32"/>
          <w:szCs w:val="32"/>
        </w:rPr>
      </w:pP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pageBreakBefore w:val="0"/>
        <w:widowControl/>
        <w:kinsoku/>
        <w:wordWrap/>
        <w:overflowPunct/>
        <w:topLinePunct w:val="0"/>
        <w:autoSpaceDE/>
        <w:autoSpaceDN/>
        <w:bidi w:val="0"/>
        <w:adjustRightInd/>
        <w:snapToGrid/>
        <w:spacing w:line="680" w:lineRule="exact"/>
        <w:ind w:firstLine="640"/>
        <w:jc w:val="left"/>
        <w:textAlignment w:val="auto"/>
        <w:rPr>
          <w:rFonts w:hint="eastAsia" w:ascii="楷体_GB2312" w:hAnsi="楷体_GB2312" w:eastAsia="楷体_GB2312" w:cs="楷体_GB2312"/>
          <w:b/>
          <w:bCs/>
          <w:color w:val="000000"/>
          <w:sz w:val="32"/>
          <w:szCs w:val="30"/>
        </w:rPr>
      </w:pPr>
      <w:r>
        <w:rPr>
          <w:rFonts w:hint="eastAsia" w:ascii="楷体_GB2312" w:hAnsi="楷体_GB2312" w:eastAsia="楷体_GB2312" w:cs="楷体_GB2312"/>
          <w:b/>
          <w:bCs/>
          <w:color w:val="000000"/>
          <w:sz w:val="32"/>
          <w:szCs w:val="30"/>
        </w:rPr>
        <w:t>一、收入科目</w:t>
      </w:r>
    </w:p>
    <w:p>
      <w:pPr>
        <w:pageBreakBefore w:val="0"/>
        <w:widowControl/>
        <w:kinsoku/>
        <w:wordWrap/>
        <w:overflowPunct/>
        <w:topLinePunct w:val="0"/>
        <w:autoSpaceDE/>
        <w:autoSpaceDN/>
        <w:bidi w:val="0"/>
        <w:adjustRightInd/>
        <w:snapToGrid/>
        <w:spacing w:line="680" w:lineRule="exact"/>
        <w:ind w:firstLine="640"/>
        <w:jc w:val="left"/>
        <w:textAlignment w:val="auto"/>
        <w:rPr>
          <w:rFonts w:hint="eastAsia" w:ascii="仿宋_GB2312" w:eastAsia="仿宋_GB2312"/>
          <w:color w:val="000000"/>
          <w:sz w:val="32"/>
          <w:szCs w:val="30"/>
        </w:rPr>
      </w:pPr>
      <w:r>
        <w:rPr>
          <w:rFonts w:hint="eastAsia" w:ascii="仿宋_GB2312" w:eastAsia="仿宋_GB2312"/>
          <w:color w:val="000000"/>
          <w:sz w:val="32"/>
          <w:szCs w:val="30"/>
        </w:rPr>
        <w:t>各部门结合实际进行解释。</w:t>
      </w:r>
    </w:p>
    <w:p>
      <w:pPr>
        <w:pageBreakBefore w:val="0"/>
        <w:widowControl/>
        <w:kinsoku/>
        <w:wordWrap/>
        <w:overflowPunct/>
        <w:topLinePunct w:val="0"/>
        <w:autoSpaceDE/>
        <w:autoSpaceDN/>
        <w:bidi w:val="0"/>
        <w:adjustRightInd/>
        <w:snapToGrid/>
        <w:spacing w:line="680" w:lineRule="exact"/>
        <w:ind w:firstLine="640"/>
        <w:jc w:val="left"/>
        <w:textAlignment w:val="auto"/>
        <w:rPr>
          <w:rFonts w:hint="eastAsia" w:ascii="仿宋_GB2312" w:eastAsia="仿宋_GB2312"/>
          <w:color w:val="000000"/>
          <w:sz w:val="32"/>
          <w:szCs w:val="30"/>
        </w:rPr>
      </w:pPr>
      <w:r>
        <w:rPr>
          <w:rFonts w:hint="eastAsia" w:ascii="仿宋_GB2312" w:eastAsia="仿宋_GB2312"/>
          <w:color w:val="000000"/>
          <w:sz w:val="32"/>
          <w:szCs w:val="30"/>
        </w:rPr>
        <w:t>（一）财政拨款：指</w:t>
      </w:r>
      <w:r>
        <w:rPr>
          <w:rFonts w:hint="eastAsia" w:ascii="仿宋_GB2312" w:eastAsia="仿宋_GB2312"/>
          <w:color w:val="000000"/>
          <w:sz w:val="32"/>
          <w:szCs w:val="30"/>
          <w:lang w:eastAsia="zh-CN"/>
        </w:rPr>
        <w:t>市级</w:t>
      </w:r>
      <w:r>
        <w:rPr>
          <w:rFonts w:hint="eastAsia" w:ascii="仿宋_GB2312" w:eastAsia="仿宋_GB2312"/>
          <w:color w:val="000000"/>
          <w:sz w:val="32"/>
          <w:szCs w:val="30"/>
        </w:rPr>
        <w:t>财政当年拨付的资金。</w:t>
      </w:r>
    </w:p>
    <w:p>
      <w:pPr>
        <w:pageBreakBefore w:val="0"/>
        <w:widowControl/>
        <w:kinsoku/>
        <w:wordWrap/>
        <w:overflowPunct/>
        <w:topLinePunct w:val="0"/>
        <w:autoSpaceDE/>
        <w:autoSpaceDN/>
        <w:bidi w:val="0"/>
        <w:adjustRightInd/>
        <w:snapToGrid/>
        <w:spacing w:line="680" w:lineRule="exact"/>
        <w:ind w:firstLine="636"/>
        <w:jc w:val="left"/>
        <w:textAlignment w:val="auto"/>
        <w:rPr>
          <w:rFonts w:hint="eastAsia" w:ascii="仿宋_GB2312" w:eastAsia="仿宋_GB2312"/>
          <w:color w:val="000000"/>
          <w:sz w:val="32"/>
          <w:szCs w:val="30"/>
        </w:rPr>
      </w:pPr>
      <w:r>
        <w:rPr>
          <w:rFonts w:hint="eastAsia" w:ascii="仿宋_GB2312" w:eastAsia="仿宋_GB2312"/>
          <w:color w:val="000000"/>
          <w:sz w:val="32"/>
          <w:szCs w:val="30"/>
        </w:rPr>
        <w:t>（二）事业收入：指事业单位开展专业业务活动及辅助活动取得的收入。</w:t>
      </w:r>
    </w:p>
    <w:p>
      <w:pPr>
        <w:pageBreakBefore w:val="0"/>
        <w:widowControl/>
        <w:kinsoku/>
        <w:wordWrap/>
        <w:overflowPunct/>
        <w:topLinePunct w:val="0"/>
        <w:autoSpaceDE/>
        <w:autoSpaceDN/>
        <w:bidi w:val="0"/>
        <w:adjustRightInd/>
        <w:snapToGrid/>
        <w:spacing w:line="680" w:lineRule="exact"/>
        <w:ind w:firstLine="636"/>
        <w:jc w:val="left"/>
        <w:textAlignment w:val="auto"/>
        <w:rPr>
          <w:rFonts w:hint="eastAsia" w:ascii="仿宋_GB2312" w:eastAsia="仿宋_GB2312"/>
          <w:color w:val="000000"/>
          <w:sz w:val="32"/>
          <w:szCs w:val="30"/>
        </w:rPr>
      </w:pPr>
      <w:r>
        <w:rPr>
          <w:rFonts w:hint="eastAsia" w:ascii="仿宋_GB2312" w:eastAsia="仿宋_GB2312"/>
          <w:color w:val="000000"/>
          <w:sz w:val="32"/>
          <w:szCs w:val="30"/>
        </w:rPr>
        <w:t>（三）事业单位经营收入：指事业单位在专业业务活动及辅助活动之外开展非独立核算经营活动取得的收入。</w:t>
      </w:r>
    </w:p>
    <w:p>
      <w:pPr>
        <w:pageBreakBefore w:val="0"/>
        <w:widowControl/>
        <w:kinsoku/>
        <w:wordWrap/>
        <w:overflowPunct/>
        <w:topLinePunct w:val="0"/>
        <w:autoSpaceDE/>
        <w:autoSpaceDN/>
        <w:bidi w:val="0"/>
        <w:adjustRightInd/>
        <w:snapToGrid/>
        <w:spacing w:line="680" w:lineRule="exact"/>
        <w:ind w:firstLine="636"/>
        <w:jc w:val="left"/>
        <w:textAlignment w:val="auto"/>
        <w:rPr>
          <w:rFonts w:hint="eastAsia" w:ascii="仿宋_GB2312" w:eastAsia="仿宋_GB2312"/>
          <w:color w:val="000000"/>
          <w:sz w:val="32"/>
          <w:szCs w:val="30"/>
        </w:rPr>
      </w:pPr>
      <w:r>
        <w:rPr>
          <w:rFonts w:hint="eastAsia" w:ascii="仿宋_GB2312" w:eastAsia="仿宋_GB2312"/>
          <w:color w:val="000000"/>
          <w:sz w:val="32"/>
          <w:szCs w:val="30"/>
        </w:rPr>
        <w:t>（四）其他收入：指除财政拨款、事业收入、事业单位经营收入等以外的各项收入。</w:t>
      </w:r>
    </w:p>
    <w:p>
      <w:pPr>
        <w:pageBreakBefore w:val="0"/>
        <w:kinsoku/>
        <w:wordWrap/>
        <w:overflowPunct/>
        <w:topLinePunct w:val="0"/>
        <w:autoSpaceDE/>
        <w:autoSpaceDN/>
        <w:bidi w:val="0"/>
        <w:adjustRightInd/>
        <w:snapToGrid/>
        <w:spacing w:line="680" w:lineRule="exact"/>
        <w:ind w:firstLine="640" w:firstLineChars="200"/>
        <w:textAlignment w:val="auto"/>
        <w:rPr>
          <w:rFonts w:hint="eastAsia" w:ascii="仿宋_GB2312" w:eastAsia="仿宋_GB2312"/>
          <w:color w:val="000000"/>
          <w:sz w:val="32"/>
          <w:szCs w:val="30"/>
        </w:rPr>
      </w:pPr>
      <w:r>
        <w:rPr>
          <w:rFonts w:hint="eastAsia" w:ascii="仿宋_GB2312" w:eastAsia="仿宋_GB2312"/>
          <w:color w:val="000000"/>
          <w:sz w:val="32"/>
          <w:szCs w:val="30"/>
        </w:rPr>
        <w:t>（五）附属单位上缴收入：反映事业单位附属的独立核算单位按规定标准或比例缴纳的各项收入。包括附属的事业单位上缴的收入和附属的企业上缴的利润等。</w:t>
      </w:r>
    </w:p>
    <w:p>
      <w:pPr>
        <w:pageBreakBefore w:val="0"/>
        <w:kinsoku/>
        <w:wordWrap/>
        <w:overflowPunct/>
        <w:topLinePunct w:val="0"/>
        <w:autoSpaceDE/>
        <w:autoSpaceDN/>
        <w:bidi w:val="0"/>
        <w:adjustRightInd/>
        <w:snapToGrid/>
        <w:spacing w:line="680" w:lineRule="exact"/>
        <w:ind w:firstLine="640" w:firstLineChars="200"/>
        <w:textAlignment w:val="auto"/>
        <w:rPr>
          <w:rFonts w:hint="eastAsia" w:ascii="仿宋_GB2312" w:eastAsia="仿宋_GB2312"/>
          <w:color w:val="000000"/>
          <w:sz w:val="32"/>
          <w:szCs w:val="30"/>
        </w:rPr>
      </w:pPr>
      <w:r>
        <w:rPr>
          <w:rFonts w:hint="eastAsia" w:ascii="仿宋_GB2312" w:eastAsia="仿宋_GB2312"/>
          <w:color w:val="000000"/>
          <w:sz w:val="32"/>
          <w:szCs w:val="30"/>
        </w:rPr>
        <w:t>（六）上级补助收入：反映事业单位从主管部门和上级单位取得的非财政补助收入。</w:t>
      </w:r>
    </w:p>
    <w:p>
      <w:pPr>
        <w:pageBreakBefore w:val="0"/>
        <w:kinsoku/>
        <w:wordWrap/>
        <w:overflowPunct/>
        <w:topLinePunct w:val="0"/>
        <w:autoSpaceDE/>
        <w:autoSpaceDN/>
        <w:bidi w:val="0"/>
        <w:adjustRightInd/>
        <w:snapToGrid/>
        <w:spacing w:line="680" w:lineRule="exact"/>
        <w:ind w:firstLine="640" w:firstLineChars="200"/>
        <w:textAlignment w:val="auto"/>
        <w:rPr>
          <w:rFonts w:hint="eastAsia" w:ascii="仿宋_GB2312" w:eastAsia="仿宋_GB2312"/>
          <w:color w:val="000000"/>
          <w:sz w:val="32"/>
          <w:szCs w:val="30"/>
        </w:rPr>
      </w:pPr>
      <w:r>
        <w:rPr>
          <w:rFonts w:hint="eastAsia" w:ascii="仿宋_GB2312" w:eastAsia="仿宋_GB2312"/>
          <w:color w:val="000000"/>
          <w:sz w:val="32"/>
          <w:szCs w:val="30"/>
        </w:rPr>
        <w:t>（七）用事业基金弥补收支差额：填列事业单位用事业基金弥补2020年收支差额的数额。</w:t>
      </w:r>
    </w:p>
    <w:p>
      <w:pPr>
        <w:pageBreakBefore w:val="0"/>
        <w:kinsoku/>
        <w:wordWrap/>
        <w:overflowPunct/>
        <w:topLinePunct w:val="0"/>
        <w:autoSpaceDE/>
        <w:autoSpaceDN/>
        <w:bidi w:val="0"/>
        <w:adjustRightInd/>
        <w:snapToGrid/>
        <w:spacing w:line="680" w:lineRule="exact"/>
        <w:ind w:firstLine="640" w:firstLineChars="200"/>
        <w:textAlignment w:val="auto"/>
        <w:rPr>
          <w:rFonts w:hint="eastAsia" w:ascii="仿宋_GB2312" w:eastAsia="仿宋_GB2312"/>
          <w:color w:val="000000"/>
          <w:sz w:val="32"/>
          <w:szCs w:val="30"/>
        </w:rPr>
      </w:pPr>
      <w:r>
        <w:rPr>
          <w:rFonts w:hint="eastAsia" w:ascii="仿宋_GB2312" w:eastAsia="仿宋_GB2312"/>
          <w:color w:val="000000"/>
          <w:sz w:val="32"/>
          <w:szCs w:val="30"/>
        </w:rPr>
        <w:t>（八）上年结转和结余：填列2019年全部结转和结余的资金数，包括当年结转结余资金和历年滚存结转结余资金。</w:t>
      </w:r>
    </w:p>
    <w:p>
      <w:pPr>
        <w:pageBreakBefore w:val="0"/>
        <w:widowControl/>
        <w:kinsoku/>
        <w:wordWrap/>
        <w:overflowPunct/>
        <w:topLinePunct w:val="0"/>
        <w:autoSpaceDE/>
        <w:autoSpaceDN/>
        <w:bidi w:val="0"/>
        <w:adjustRightInd/>
        <w:snapToGrid/>
        <w:spacing w:line="680" w:lineRule="exact"/>
        <w:ind w:firstLine="640"/>
        <w:jc w:val="left"/>
        <w:textAlignment w:val="auto"/>
        <w:rPr>
          <w:rFonts w:hint="eastAsia" w:ascii="楷体_GB2312" w:hAnsi="楷体_GB2312" w:eastAsia="楷体_GB2312" w:cs="楷体_GB2312"/>
          <w:b/>
          <w:bCs/>
          <w:color w:val="000000"/>
          <w:sz w:val="32"/>
          <w:szCs w:val="30"/>
        </w:rPr>
      </w:pPr>
      <w:r>
        <w:rPr>
          <w:rFonts w:hint="eastAsia" w:ascii="楷体_GB2312" w:hAnsi="楷体_GB2312" w:eastAsia="楷体_GB2312" w:cs="楷体_GB2312"/>
          <w:b/>
          <w:bCs/>
          <w:color w:val="000000"/>
          <w:sz w:val="32"/>
          <w:szCs w:val="30"/>
        </w:rPr>
        <w:t>二、支出科目</w:t>
      </w:r>
    </w:p>
    <w:p>
      <w:pPr>
        <w:pageBreakBefore w:val="0"/>
        <w:widowControl/>
        <w:kinsoku/>
        <w:wordWrap/>
        <w:overflowPunct/>
        <w:topLinePunct w:val="0"/>
        <w:autoSpaceDE/>
        <w:autoSpaceDN/>
        <w:bidi w:val="0"/>
        <w:adjustRightInd/>
        <w:snapToGrid/>
        <w:spacing w:line="680" w:lineRule="exact"/>
        <w:ind w:firstLine="640"/>
        <w:jc w:val="left"/>
        <w:textAlignment w:val="auto"/>
        <w:rPr>
          <w:rFonts w:hint="eastAsia" w:ascii="仿宋_GB2312" w:eastAsia="仿宋_GB2312"/>
          <w:color w:val="000000"/>
          <w:sz w:val="32"/>
          <w:szCs w:val="30"/>
        </w:rPr>
      </w:pPr>
      <w:r>
        <w:rPr>
          <w:rFonts w:hint="eastAsia" w:ascii="仿宋_GB2312" w:eastAsia="仿宋_GB2312"/>
          <w:color w:val="000000"/>
          <w:sz w:val="32"/>
          <w:szCs w:val="30"/>
        </w:rPr>
        <w:t>对部门预算中涉及的支出功能分类科目（明细到项级），结合部门实际，参照《2020年政府收支分类科目》的规范说明进行解释。</w:t>
      </w:r>
    </w:p>
    <w:p>
      <w:pPr>
        <w:pageBreakBefore w:val="0"/>
        <w:widowControl/>
        <w:kinsoku/>
        <w:wordWrap/>
        <w:overflowPunct/>
        <w:topLinePunct w:val="0"/>
        <w:autoSpaceDE/>
        <w:autoSpaceDN/>
        <w:bidi w:val="0"/>
        <w:adjustRightInd/>
        <w:snapToGrid/>
        <w:spacing w:line="680" w:lineRule="exact"/>
        <w:ind w:firstLine="640"/>
        <w:jc w:val="left"/>
        <w:textAlignment w:val="auto"/>
        <w:rPr>
          <w:rFonts w:hint="eastAsia" w:ascii="仿宋_GB2312" w:eastAsia="仿宋_GB2312"/>
          <w:color w:val="000000"/>
          <w:sz w:val="32"/>
          <w:szCs w:val="30"/>
          <w:lang w:val="en-US" w:eastAsia="zh-CN"/>
        </w:rPr>
      </w:pPr>
      <w:r>
        <w:rPr>
          <w:rFonts w:hint="eastAsia" w:ascii="仿宋_GB2312" w:eastAsia="仿宋_GB2312"/>
          <w:color w:val="000000"/>
          <w:sz w:val="32"/>
          <w:szCs w:val="30"/>
        </w:rPr>
        <w:t>（一）</w:t>
      </w:r>
      <w:r>
        <w:rPr>
          <w:rFonts w:hint="eastAsia" w:ascii="仿宋_GB2312" w:hAnsi="仿宋_GB2312" w:eastAsia="仿宋_GB2312" w:cs="仿宋_GB2312"/>
          <w:sz w:val="32"/>
          <w:szCs w:val="32"/>
        </w:rPr>
        <w:t>一般公共服务支出</w:t>
      </w:r>
      <w:r>
        <w:rPr>
          <w:rFonts w:hint="eastAsia" w:ascii="仿宋_GB2312" w:hAnsi="仿宋_GB2312" w:eastAsia="仿宋_GB2312" w:cs="仿宋_GB2312"/>
          <w:sz w:val="32"/>
          <w:szCs w:val="32"/>
          <w:lang w:eastAsia="zh-CN"/>
        </w:rPr>
        <w:t>：反映行政事业单位的相关支出。</w:t>
      </w:r>
    </w:p>
    <w:p>
      <w:pPr>
        <w:pageBreakBefore w:val="0"/>
        <w:widowControl/>
        <w:kinsoku/>
        <w:wordWrap/>
        <w:overflowPunct/>
        <w:topLinePunct w:val="0"/>
        <w:autoSpaceDE/>
        <w:autoSpaceDN/>
        <w:bidi w:val="0"/>
        <w:adjustRightInd/>
        <w:snapToGrid/>
        <w:spacing w:line="680" w:lineRule="exact"/>
        <w:ind w:firstLine="636"/>
        <w:jc w:val="left"/>
        <w:textAlignment w:val="auto"/>
        <w:rPr>
          <w:rFonts w:hint="eastAsia" w:ascii="仿宋_GB2312" w:hAnsi="仿宋_GB2312" w:eastAsia="仿宋_GB2312" w:cs="仿宋_GB2312"/>
          <w:sz w:val="32"/>
          <w:szCs w:val="32"/>
          <w:lang w:eastAsia="zh-CN"/>
        </w:rPr>
      </w:pPr>
      <w:r>
        <w:rPr>
          <w:rFonts w:hint="eastAsia" w:ascii="仿宋_GB2312" w:eastAsia="仿宋_GB2312"/>
          <w:color w:val="000000"/>
          <w:sz w:val="32"/>
          <w:szCs w:val="30"/>
        </w:rPr>
        <w:t>（二）</w:t>
      </w:r>
      <w:r>
        <w:rPr>
          <w:rFonts w:hint="eastAsia" w:ascii="仿宋_GB2312" w:hAnsi="仿宋_GB2312" w:eastAsia="仿宋_GB2312" w:cs="仿宋_GB2312"/>
          <w:sz w:val="32"/>
          <w:szCs w:val="32"/>
        </w:rPr>
        <w:t>社会保障和就业支出</w:t>
      </w:r>
      <w:r>
        <w:rPr>
          <w:rFonts w:hint="eastAsia" w:ascii="仿宋_GB2312" w:hAnsi="仿宋_GB2312" w:eastAsia="仿宋_GB2312" w:cs="仿宋_GB2312"/>
          <w:sz w:val="32"/>
          <w:szCs w:val="32"/>
          <w:lang w:eastAsia="zh-CN"/>
        </w:rPr>
        <w:t>：反映机关事业单位实施养老保险制度由单位缴纳的基本养老保险费支出。</w:t>
      </w:r>
    </w:p>
    <w:p>
      <w:pPr>
        <w:pageBreakBefore w:val="0"/>
        <w:widowControl/>
        <w:kinsoku/>
        <w:wordWrap/>
        <w:overflowPunct/>
        <w:topLinePunct w:val="0"/>
        <w:autoSpaceDE/>
        <w:autoSpaceDN/>
        <w:bidi w:val="0"/>
        <w:adjustRightInd/>
        <w:snapToGrid/>
        <w:spacing w:line="680" w:lineRule="exact"/>
        <w:ind w:firstLine="636"/>
        <w:jc w:val="left"/>
        <w:textAlignment w:val="auto"/>
        <w:rPr>
          <w:rFonts w:hint="eastAsia" w:ascii="仿宋_GB2312" w:eastAsia="仿宋_GB2312"/>
          <w:color w:val="000000"/>
          <w:sz w:val="32"/>
          <w:szCs w:val="30"/>
          <w:lang w:eastAsia="zh-CN"/>
        </w:rPr>
      </w:pPr>
      <w:r>
        <w:rPr>
          <w:rFonts w:hint="eastAsia" w:ascii="仿宋_GB2312" w:eastAsia="仿宋_GB2312"/>
          <w:color w:val="000000"/>
          <w:sz w:val="32"/>
          <w:szCs w:val="30"/>
        </w:rPr>
        <w:t>（三）</w:t>
      </w:r>
      <w:r>
        <w:rPr>
          <w:rFonts w:hint="eastAsia" w:ascii="仿宋_GB2312" w:eastAsia="仿宋_GB2312"/>
          <w:color w:val="000000"/>
          <w:sz w:val="32"/>
          <w:szCs w:val="30"/>
          <w:lang w:eastAsia="zh-CN"/>
        </w:rPr>
        <w:t>卫生健康支出：反映行政事业单位医疗方面的支出。</w:t>
      </w:r>
    </w:p>
    <w:p>
      <w:pPr>
        <w:pageBreakBefore w:val="0"/>
        <w:widowControl/>
        <w:kinsoku/>
        <w:wordWrap/>
        <w:overflowPunct/>
        <w:topLinePunct w:val="0"/>
        <w:autoSpaceDE/>
        <w:autoSpaceDN/>
        <w:bidi w:val="0"/>
        <w:adjustRightInd/>
        <w:snapToGrid/>
        <w:spacing w:line="680" w:lineRule="exact"/>
        <w:ind w:firstLine="636"/>
        <w:jc w:val="left"/>
        <w:textAlignment w:val="auto"/>
        <w:rPr>
          <w:rFonts w:hint="eastAsia" w:ascii="仿宋_GB2312" w:eastAsia="仿宋_GB2312"/>
          <w:color w:val="000000"/>
          <w:sz w:val="32"/>
          <w:szCs w:val="30"/>
          <w:lang w:eastAsia="zh-CN"/>
        </w:rPr>
      </w:pPr>
      <w:r>
        <w:rPr>
          <w:rFonts w:hint="eastAsia" w:ascii="仿宋_GB2312" w:eastAsia="仿宋_GB2312"/>
          <w:color w:val="000000"/>
          <w:sz w:val="32"/>
          <w:szCs w:val="30"/>
        </w:rPr>
        <w:t>（四）</w:t>
      </w:r>
      <w:r>
        <w:rPr>
          <w:rFonts w:hint="eastAsia" w:ascii="仿宋_GB2312" w:eastAsia="仿宋_GB2312"/>
          <w:color w:val="000000"/>
          <w:sz w:val="32"/>
          <w:szCs w:val="30"/>
          <w:lang w:eastAsia="zh-CN"/>
        </w:rPr>
        <w:t>住房保障支出：反映行政事业单位按人力资源和社会保障部、财政部规定的基本工资和津贴补贴以及规定比例为职工缴纳的住房公积金。</w:t>
      </w:r>
    </w:p>
    <w:p>
      <w:pPr>
        <w:pStyle w:val="2"/>
        <w:rPr>
          <w:rFonts w:hint="eastAsia"/>
        </w:rPr>
      </w:pPr>
    </w:p>
    <w:p>
      <w:pPr>
        <w:pStyle w:val="2"/>
      </w:pPr>
      <w:bookmarkStart w:id="0" w:name="_GoBack"/>
      <w:bookmarkEnd w:id="0"/>
    </w:p>
    <w:sectPr>
      <w:footerReference r:id="rId3" w:type="default"/>
      <w:pgSz w:w="11906" w:h="16838"/>
      <w:pgMar w:top="1440" w:right="1474" w:bottom="1440" w:left="147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8"/>
        <w:rFonts w:cs="Times New Roman"/>
      </w:rPr>
    </w:pPr>
    <w:r>
      <w:rPr>
        <w:rStyle w:val="8"/>
      </w:rPr>
      <w:fldChar w:fldCharType="begin"/>
    </w:r>
    <w:r>
      <w:rPr>
        <w:rStyle w:val="8"/>
      </w:rPr>
      <w:instrText xml:space="preserve">PAGE  </w:instrText>
    </w:r>
    <w:r>
      <w:rPr>
        <w:rStyle w:val="8"/>
      </w:rPr>
      <w:fldChar w:fldCharType="separate"/>
    </w:r>
    <w:r>
      <w:rPr>
        <w:rStyle w:val="8"/>
      </w:rPr>
      <w:t>1</w:t>
    </w:r>
    <w:r>
      <w:rPr>
        <w:rStyle w:val="8"/>
      </w:rPr>
      <w:fldChar w:fldCharType="end"/>
    </w:r>
  </w:p>
  <w:p>
    <w:pPr>
      <w:pStyle w:val="5"/>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A778CA"/>
    <w:multiLevelType w:val="singleLevel"/>
    <w:tmpl w:val="59A778CA"/>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66060"/>
    <w:rsid w:val="008110CC"/>
    <w:rsid w:val="00C04C9A"/>
    <w:rsid w:val="00CB427A"/>
    <w:rsid w:val="00F500B9"/>
    <w:rsid w:val="01992CBB"/>
    <w:rsid w:val="022502CD"/>
    <w:rsid w:val="05595213"/>
    <w:rsid w:val="05E43A52"/>
    <w:rsid w:val="05EB1609"/>
    <w:rsid w:val="08EE0B31"/>
    <w:rsid w:val="0A326819"/>
    <w:rsid w:val="0B543EAF"/>
    <w:rsid w:val="0CBF216E"/>
    <w:rsid w:val="0FCB58D0"/>
    <w:rsid w:val="11427CB1"/>
    <w:rsid w:val="139E3D52"/>
    <w:rsid w:val="13F03055"/>
    <w:rsid w:val="150602BF"/>
    <w:rsid w:val="153D2127"/>
    <w:rsid w:val="15A73909"/>
    <w:rsid w:val="162B4B72"/>
    <w:rsid w:val="18AC060B"/>
    <w:rsid w:val="19076E1D"/>
    <w:rsid w:val="1DE14D76"/>
    <w:rsid w:val="1E853CF1"/>
    <w:rsid w:val="1EBD751D"/>
    <w:rsid w:val="1F084821"/>
    <w:rsid w:val="1F117155"/>
    <w:rsid w:val="204B45CE"/>
    <w:rsid w:val="218B1F33"/>
    <w:rsid w:val="22600F18"/>
    <w:rsid w:val="22926459"/>
    <w:rsid w:val="22945DF6"/>
    <w:rsid w:val="25705B71"/>
    <w:rsid w:val="265B0F4F"/>
    <w:rsid w:val="2BC265B4"/>
    <w:rsid w:val="2D4F2EA5"/>
    <w:rsid w:val="2DBB222D"/>
    <w:rsid w:val="2DE53E2F"/>
    <w:rsid w:val="2EEB2B60"/>
    <w:rsid w:val="31D40AAE"/>
    <w:rsid w:val="339F102B"/>
    <w:rsid w:val="33AC05AE"/>
    <w:rsid w:val="365C6F22"/>
    <w:rsid w:val="36696C12"/>
    <w:rsid w:val="3BD871B8"/>
    <w:rsid w:val="3CF55A87"/>
    <w:rsid w:val="3E2D505D"/>
    <w:rsid w:val="3EB1670D"/>
    <w:rsid w:val="40394717"/>
    <w:rsid w:val="429A727D"/>
    <w:rsid w:val="437A3890"/>
    <w:rsid w:val="44D84FC1"/>
    <w:rsid w:val="46F546C4"/>
    <w:rsid w:val="47EC3711"/>
    <w:rsid w:val="4ADD474C"/>
    <w:rsid w:val="4B2E20E5"/>
    <w:rsid w:val="4C0B7195"/>
    <w:rsid w:val="4D3B293C"/>
    <w:rsid w:val="4D4F22C7"/>
    <w:rsid w:val="4E8C2ED0"/>
    <w:rsid w:val="50E24196"/>
    <w:rsid w:val="51B40312"/>
    <w:rsid w:val="528D34A1"/>
    <w:rsid w:val="551C7C5F"/>
    <w:rsid w:val="57CC144D"/>
    <w:rsid w:val="58C11AFB"/>
    <w:rsid w:val="5A62283B"/>
    <w:rsid w:val="5BDC3A0D"/>
    <w:rsid w:val="5F0E04FD"/>
    <w:rsid w:val="6012014E"/>
    <w:rsid w:val="61F32950"/>
    <w:rsid w:val="62B20F12"/>
    <w:rsid w:val="641E7445"/>
    <w:rsid w:val="64DC06EA"/>
    <w:rsid w:val="662E01AE"/>
    <w:rsid w:val="681E7C67"/>
    <w:rsid w:val="685C5CB6"/>
    <w:rsid w:val="6D821418"/>
    <w:rsid w:val="6D977543"/>
    <w:rsid w:val="6F744C88"/>
    <w:rsid w:val="71452C49"/>
    <w:rsid w:val="717D380F"/>
    <w:rsid w:val="71B0711E"/>
    <w:rsid w:val="73224148"/>
    <w:rsid w:val="736B12A8"/>
    <w:rsid w:val="776E35B0"/>
    <w:rsid w:val="77B114CD"/>
    <w:rsid w:val="7B4102B0"/>
    <w:rsid w:val="7F0C59E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3">
    <w:name w:val="heading 2"/>
    <w:basedOn w:val="1"/>
    <w:next w:val="1"/>
    <w:link w:val="9"/>
    <w:qFormat/>
    <w:uiPriority w:val="99"/>
    <w:pPr>
      <w:keepNext/>
      <w:keepLines/>
      <w:spacing w:line="416" w:lineRule="auto"/>
      <w:outlineLvl w:val="1"/>
    </w:pPr>
    <w:rPr>
      <w:rFonts w:ascii="Arial" w:hAnsi="Arial" w:eastAsia="黑体" w:cs="Arial"/>
      <w:b/>
      <w:bCs/>
      <w:sz w:val="32"/>
      <w:szCs w:val="32"/>
    </w:rPr>
  </w:style>
  <w:style w:type="paragraph" w:styleId="4">
    <w:name w:val="heading 3"/>
    <w:basedOn w:val="1"/>
    <w:next w:val="1"/>
    <w:unhideWhenUsed/>
    <w:qFormat/>
    <w:locked/>
    <w:uiPriority w:val="0"/>
    <w:pPr>
      <w:keepNext/>
      <w:keepLines/>
      <w:spacing w:before="260" w:beforeLines="0" w:beforeAutospacing="0" w:after="260" w:afterLines="0" w:afterAutospacing="0" w:line="413" w:lineRule="auto"/>
      <w:outlineLvl w:val="2"/>
    </w:pPr>
    <w:rPr>
      <w:b/>
      <w:sz w:val="32"/>
    </w:rPr>
  </w:style>
  <w:style w:type="character" w:default="1" w:styleId="7">
    <w:name w:val="Default Paragraph Font"/>
    <w:semiHidden/>
    <w:qFormat/>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 w:val="21"/>
      <w:szCs w:val="21"/>
    </w:rPr>
  </w:style>
  <w:style w:type="paragraph" w:styleId="5">
    <w:name w:val="footer"/>
    <w:basedOn w:val="1"/>
    <w:link w:val="10"/>
    <w:qFormat/>
    <w:uiPriority w:val="99"/>
    <w:pPr>
      <w:tabs>
        <w:tab w:val="center" w:pos="4153"/>
        <w:tab w:val="right" w:pos="8306"/>
      </w:tabs>
      <w:snapToGrid w:val="0"/>
      <w:jc w:val="left"/>
    </w:pPr>
    <w:rPr>
      <w:sz w:val="18"/>
      <w:szCs w:val="18"/>
    </w:rPr>
  </w:style>
  <w:style w:type="character" w:styleId="8">
    <w:name w:val="page number"/>
    <w:basedOn w:val="7"/>
    <w:qFormat/>
    <w:uiPriority w:val="99"/>
  </w:style>
  <w:style w:type="character" w:customStyle="1" w:styleId="9">
    <w:name w:val="Heading 2 Char"/>
    <w:basedOn w:val="7"/>
    <w:link w:val="3"/>
    <w:semiHidden/>
    <w:qFormat/>
    <w:uiPriority w:val="9"/>
    <w:rPr>
      <w:rFonts w:asciiTheme="majorHAnsi" w:hAnsiTheme="majorHAnsi" w:eastAsiaTheme="majorEastAsia" w:cstheme="majorBidi"/>
      <w:b/>
      <w:bCs/>
      <w:sz w:val="32"/>
      <w:szCs w:val="32"/>
    </w:rPr>
  </w:style>
  <w:style w:type="character" w:customStyle="1" w:styleId="10">
    <w:name w:val="Footer Char"/>
    <w:basedOn w:val="7"/>
    <w:link w:val="5"/>
    <w:semiHidden/>
    <w:qFormat/>
    <w:uiPriority w:val="99"/>
    <w:rPr>
      <w:rFonts w:cs="Calibr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353</Words>
  <Characters>2015</Characters>
  <Lines>0</Lines>
  <Paragraphs>0</Paragraphs>
  <TotalTime>14</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Administrator</cp:lastModifiedBy>
  <dcterms:modified xsi:type="dcterms:W3CDTF">2020-06-19T08:12:59Z</dcterms:modified>
  <dc:title>附件2：2018年市级部门预算说明和预算公开表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